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b/>
          <w:color w:val="000000" w:themeColor="text1"/>
          <w:sz w:val="44"/>
          <w:szCs w:val="36"/>
          <w14:textFill>
            <w14:solidFill>
              <w14:schemeClr w14:val="tx1"/>
            </w14:solidFill>
          </w14:textFill>
        </w:rPr>
      </w:pPr>
      <w:r>
        <w:rPr>
          <w:rFonts w:hint="eastAsia"/>
          <w:b/>
          <w:color w:val="000000" w:themeColor="text1"/>
          <w:sz w:val="44"/>
          <w:szCs w:val="36"/>
          <w14:textFill>
            <w14:solidFill>
              <w14:schemeClr w14:val="tx1"/>
            </w14:solidFill>
          </w14:textFill>
        </w:rPr>
        <w:t xml:space="preserve">团           体           </w:t>
      </w:r>
      <w:r>
        <w:rPr>
          <w:b/>
          <w:color w:val="000000" w:themeColor="text1"/>
          <w:sz w:val="44"/>
          <w:szCs w:val="36"/>
          <w14:textFill>
            <w14:solidFill>
              <w14:schemeClr w14:val="tx1"/>
            </w14:solidFill>
          </w14:textFill>
        </w:rPr>
        <w:t>标</w:t>
      </w:r>
      <w:r>
        <w:rPr>
          <w:rFonts w:hint="eastAsia"/>
          <w:b/>
          <w:color w:val="000000" w:themeColor="text1"/>
          <w:sz w:val="44"/>
          <w:szCs w:val="36"/>
          <w14:textFill>
            <w14:solidFill>
              <w14:schemeClr w14:val="tx1"/>
            </w14:solidFill>
          </w14:textFill>
        </w:rPr>
        <w:t xml:space="preserve">           </w:t>
      </w:r>
      <w:r>
        <w:rPr>
          <w:b/>
          <w:color w:val="000000" w:themeColor="text1"/>
          <w:sz w:val="44"/>
          <w:szCs w:val="36"/>
          <w14:textFill>
            <w14:solidFill>
              <w14:schemeClr w14:val="tx1"/>
            </w14:solidFill>
          </w14:textFill>
        </w:rPr>
        <w:t>准</w:t>
      </w:r>
    </w:p>
    <w:p>
      <w:pPr>
        <w:ind w:firstLine="1446" w:firstLineChars="400"/>
        <w:jc w:val="right"/>
        <w:outlineLvl w:val="1"/>
        <w:rPr>
          <w:b/>
          <w:bCs/>
          <w:color w:val="000000" w:themeColor="text1"/>
          <w:sz w:val="36"/>
          <w:szCs w:val="36"/>
          <w14:textFill>
            <w14:solidFill>
              <w14:schemeClr w14:val="tx1"/>
            </w14:solidFill>
          </w14:textFill>
        </w:rPr>
      </w:pPr>
    </w:p>
    <w:p>
      <w:pPr>
        <w:ind w:firstLine="723"/>
        <w:jc w:val="right"/>
        <w:outlineLvl w:val="1"/>
        <w:rPr>
          <w:b/>
          <w:bCs/>
          <w:color w:val="000000" w:themeColor="text1"/>
          <w:sz w:val="36"/>
          <w:szCs w:val="36"/>
          <w14:textFill>
            <w14:solidFill>
              <w14:schemeClr w14:val="tx1"/>
            </w14:solidFill>
          </w14:textFill>
        </w:rPr>
      </w:pPr>
      <w:bookmarkStart w:id="0" w:name="_Toc60150022"/>
      <w:bookmarkStart w:id="1" w:name="_Toc60151915"/>
      <w:bookmarkStart w:id="2" w:name="_Toc61870905"/>
      <w:bookmarkStart w:id="3" w:name="_Toc23584"/>
      <w:bookmarkStart w:id="4" w:name="_Toc15575"/>
      <w:r>
        <w:rPr>
          <w:rFonts w:hint="eastAsia"/>
          <w:b/>
          <w:bCs/>
          <w:sz w:val="36"/>
          <w:szCs w:val="36"/>
        </w:rPr>
        <w:t>T</w:t>
      </w:r>
      <w:r>
        <w:rPr>
          <w:b/>
          <w:bCs/>
          <w:sz w:val="36"/>
          <w:szCs w:val="36"/>
        </w:rPr>
        <w:t>/</w:t>
      </w:r>
      <w:r>
        <w:rPr>
          <w:rFonts w:hint="eastAsia"/>
          <w:b/>
          <w:bCs/>
          <w:sz w:val="36"/>
          <w:szCs w:val="36"/>
        </w:rPr>
        <w:t>CQGBAIA 001</w:t>
      </w:r>
      <w:r>
        <w:rPr>
          <w:b/>
          <w:bCs/>
          <w:color w:val="000000" w:themeColor="text1"/>
          <w:sz w:val="36"/>
          <w:szCs w:val="36"/>
          <w14:textFill>
            <w14:solidFill>
              <w14:schemeClr w14:val="tx1"/>
            </w14:solidFill>
          </w14:textFill>
        </w:rPr>
        <w:t>-2021</w:t>
      </w:r>
      <w:bookmarkEnd w:id="0"/>
      <w:bookmarkEnd w:id="1"/>
      <w:bookmarkEnd w:id="2"/>
      <w:bookmarkEnd w:id="3"/>
      <w:bookmarkEnd w:id="4"/>
    </w:p>
    <w:p>
      <w:pPr>
        <w:ind w:firstLine="420"/>
        <w:rPr>
          <w:color w:val="000000" w:themeColor="text1"/>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6350</wp:posOffset>
                </wp:positionV>
                <wp:extent cx="5905500" cy="0"/>
                <wp:effectExtent l="0" t="0" r="19050" b="19050"/>
                <wp:wrapNone/>
                <wp:docPr id="1" name="直接连接符 1"/>
                <wp:cNvGraphicFramePr/>
                <a:graphic xmlns:a="http://schemas.openxmlformats.org/drawingml/2006/main">
                  <a:graphicData uri="http://schemas.microsoft.com/office/word/2010/wordprocessingShape">
                    <wps:wsp>
                      <wps:cNvCnPr/>
                      <wps:spPr>
                        <a:xfrm flipV="1">
                          <a:off x="0" y="0"/>
                          <a:ext cx="59055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top:0.5pt;height:0pt;width:465pt;mso-position-horizontal:left;mso-position-horizontal-relative:margin;z-index:251659264;mso-width-relative:page;mso-height-relative:page;" filled="f" stroked="t" coordsize="21600,21600" o:gfxdata="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YdyALRAAAABAEA&#10;AA8AAAAAAAAAAQAgAAAAIgAAAGRycy9kb3ducmV2LnhtbFBLAQIUABQAAAAIAIdO4kApvx7+6AEA&#10;ALsDAAAOAAAAAAAAAAEAIAAAACABAABkcnMvZTJvRG9jLnhtbFBLBQYAAAAABgAGAFkBAAB6BQAA&#10;AAA=&#10;">
                <v:fill on="f" focussize="0,0"/>
                <v:stroke weight="0.5pt" color="#000000 [3213]" miterlimit="8" joinstyle="miter"/>
                <v:imagedata o:title=""/>
                <o:lock v:ext="edit" aspectratio="f"/>
              </v:line>
            </w:pict>
          </mc:Fallback>
        </mc:AlternateContent>
      </w: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0" w:firstLineChars="0"/>
        <w:jc w:val="center"/>
        <w:outlineLvl w:val="1"/>
        <w:rPr>
          <w:b/>
          <w:bCs/>
          <w:color w:val="000000" w:themeColor="text1"/>
          <w:sz w:val="44"/>
          <w:szCs w:val="36"/>
          <w14:textFill>
            <w14:solidFill>
              <w14:schemeClr w14:val="tx1"/>
            </w14:solidFill>
          </w14:textFill>
        </w:rPr>
      </w:pPr>
      <w:bookmarkStart w:id="5" w:name="_Toc61870906"/>
      <w:bookmarkStart w:id="6" w:name="_Toc60151916"/>
      <w:bookmarkStart w:id="7" w:name="_Toc6812"/>
      <w:bookmarkStart w:id="8" w:name="_Toc12854"/>
      <w:bookmarkStart w:id="9" w:name="_Toc60150023"/>
      <w:r>
        <w:rPr>
          <w:rFonts w:hint="eastAsia"/>
          <w:b/>
          <w:bCs/>
          <w:color w:val="000000" w:themeColor="text1"/>
          <w:sz w:val="44"/>
          <w:szCs w:val="36"/>
          <w14:textFill>
            <w14:solidFill>
              <w14:schemeClr w14:val="tx1"/>
            </w14:solidFill>
          </w14:textFill>
        </w:rPr>
        <w:t>绿色建筑技术咨询与服务行业自律行为规范</w:t>
      </w:r>
      <w:bookmarkEnd w:id="5"/>
      <w:bookmarkEnd w:id="6"/>
      <w:bookmarkEnd w:id="7"/>
      <w:bookmarkEnd w:id="8"/>
      <w:bookmarkEnd w:id="9"/>
    </w:p>
    <w:p>
      <w:pPr>
        <w:ind w:firstLine="0" w:firstLineChars="0"/>
        <w:jc w:val="center"/>
        <w:rPr>
          <w:rFonts w:ascii="黑体" w:hAnsi="黑体" w:eastAsia="黑体"/>
          <w:sz w:val="32"/>
          <w:szCs w:val="32"/>
        </w:rPr>
      </w:pPr>
      <w:r>
        <w:rPr>
          <w:rFonts w:ascii="黑体" w:hAnsi="黑体" w:eastAsia="黑体"/>
          <w:sz w:val="32"/>
          <w:szCs w:val="32"/>
        </w:rPr>
        <w:t>Code of self-discipline for green building technology consulting and service industry</w:t>
      </w: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640"/>
        <w:rPr>
          <w:rFonts w:ascii="黑体" w:hAnsi="黑体" w:eastAsia="黑体"/>
          <w:color w:val="000000" w:themeColor="text1"/>
          <w:sz w:val="32"/>
          <w:szCs w:val="32"/>
          <w14:textFill>
            <w14:solidFill>
              <w14:schemeClr w14:val="tx1"/>
            </w14:solidFill>
          </w14:textFill>
        </w:rPr>
      </w:pPr>
    </w:p>
    <w:p>
      <w:pPr>
        <w:ind w:firstLine="0" w:firstLineChars="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2021-**</w:t>
      </w:r>
      <w:r>
        <w:rPr>
          <w:rFonts w:ascii="黑体" w:hAnsi="黑体" w:eastAsia="黑体"/>
          <w:color w:val="000000" w:themeColor="text1"/>
          <w:sz w:val="32"/>
          <w:szCs w:val="32"/>
          <w14:textFill>
            <w14:solidFill>
              <w14:schemeClr w14:val="tx1"/>
            </w14:solidFill>
          </w14:textFill>
        </w:rPr>
        <w:t>-**</w:t>
      </w:r>
      <w:r>
        <w:rPr>
          <w:rFonts w:hint="eastAsia" w:ascii="黑体" w:hAnsi="黑体" w:eastAsia="黑体"/>
          <w:color w:val="000000" w:themeColor="text1"/>
          <w:sz w:val="32"/>
          <w:szCs w:val="32"/>
          <w14:textFill>
            <w14:solidFill>
              <w14:schemeClr w14:val="tx1"/>
            </w14:solidFill>
          </w14:textFill>
        </w:rPr>
        <w:t xml:space="preserve">发布                  </w:t>
      </w:r>
      <w:r>
        <w:rPr>
          <w:rFonts w:ascii="黑体" w:hAnsi="黑体" w:eastAsia="黑体"/>
          <w:color w:val="000000" w:themeColor="text1"/>
          <w:sz w:val="32"/>
          <w:szCs w:val="32"/>
          <w14:textFill>
            <w14:solidFill>
              <w14:schemeClr w14:val="tx1"/>
            </w14:solidFill>
          </w14:textFill>
        </w:rPr>
        <w:t xml:space="preserve">    </w:t>
      </w:r>
      <w:r>
        <w:rPr>
          <w:rFonts w:hint="eastAsia" w:ascii="黑体" w:hAnsi="黑体" w:eastAsia="黑体"/>
          <w:color w:val="000000" w:themeColor="text1"/>
          <w:sz w:val="32"/>
          <w:szCs w:val="32"/>
          <w14:textFill>
            <w14:solidFill>
              <w14:schemeClr w14:val="tx1"/>
            </w14:solidFill>
          </w14:textFill>
        </w:rPr>
        <w:t xml:space="preserve">      2021-**</w:t>
      </w:r>
      <w:r>
        <w:rPr>
          <w:rFonts w:ascii="黑体" w:hAnsi="黑体" w:eastAsia="黑体"/>
          <w:color w:val="000000" w:themeColor="text1"/>
          <w:sz w:val="32"/>
          <w:szCs w:val="32"/>
          <w14:textFill>
            <w14:solidFill>
              <w14:schemeClr w14:val="tx1"/>
            </w14:solidFill>
          </w14:textFill>
        </w:rPr>
        <w:t>-**</w:t>
      </w:r>
      <w:r>
        <w:rPr>
          <w:rFonts w:hint="eastAsia" w:ascii="黑体" w:hAnsi="黑体" w:eastAsia="黑体"/>
          <w:color w:val="000000" w:themeColor="text1"/>
          <w:sz w:val="32"/>
          <w:szCs w:val="32"/>
          <w14:textFill>
            <w14:solidFill>
              <w14:schemeClr w14:val="tx1"/>
            </w14:solidFill>
          </w14:textFill>
        </w:rPr>
        <w:t>实施</w:t>
      </w:r>
    </w:p>
    <w:p>
      <w:pPr>
        <w:ind w:firstLine="420"/>
        <w:rPr>
          <w:rFonts w:ascii="黑体" w:hAnsi="黑体" w:eastAsia="黑体"/>
          <w:color w:val="000000" w:themeColor="text1"/>
          <w:sz w:val="32"/>
          <w:szCs w:val="32"/>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15240</wp:posOffset>
                </wp:positionV>
                <wp:extent cx="5905500" cy="0"/>
                <wp:effectExtent l="0" t="0" r="19050" b="19050"/>
                <wp:wrapNone/>
                <wp:docPr id="3" name="直接连接符 3"/>
                <wp:cNvGraphicFramePr/>
                <a:graphic xmlns:a="http://schemas.openxmlformats.org/drawingml/2006/main">
                  <a:graphicData uri="http://schemas.microsoft.com/office/word/2010/wordprocessingShape">
                    <wps:wsp>
                      <wps:cNvCnPr/>
                      <wps:spPr>
                        <a:xfrm flipV="1">
                          <a:off x="0" y="0"/>
                          <a:ext cx="59055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top:1.2pt;height:0pt;width:465pt;mso-position-horizontal:right;mso-position-horizontal-relative:margin;z-index:251663360;mso-width-relative:page;mso-height-relative:page;" filled="f" stroked="t" coordsize="21600,21600" o:gfxdata="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YnVzqNEAAAAE&#10;AQAADwAAAAAAAAABACAAAAAiAAAAZHJzL2Rvd25yZXYueG1sUEsBAhQAFAAAAAgAh07iQDx6k8rq&#10;AQAAuwMAAA4AAAAAAAAAAQAgAAAAIAEAAGRycy9lMm9Eb2MueG1sUEsFBgAAAAAGAAYAWQEAAHwF&#10;AAAAAA==&#10;">
                <v:fill on="f" focussize="0,0"/>
                <v:stroke weight="0.5pt" color="#000000 [3213]" miterlimit="8" joinstyle="miter"/>
                <v:imagedata o:title=""/>
                <o:lock v:ext="edit" aspectratio="f"/>
              </v:line>
            </w:pict>
          </mc:Fallback>
        </mc:AlternateContent>
      </w:r>
    </w:p>
    <w:p>
      <w:pPr>
        <w:ind w:firstLine="420"/>
        <w:rPr>
          <w:rFonts w:ascii="黑体" w:hAnsi="黑体" w:eastAsia="黑体"/>
          <w:color w:val="000000" w:themeColor="text1"/>
          <w:sz w:val="32"/>
          <w:szCs w:val="32"/>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418" w:right="1134" w:bottom="1440" w:left="1418" w:header="851" w:footer="992" w:gutter="0"/>
          <w:cols w:space="425" w:num="1"/>
          <w:docGrid w:type="lines" w:linePitch="312" w:charSpace="0"/>
        </w:sectPr>
      </w:pPr>
      <w:r>
        <w:rPr>
          <w:color w:val="000000" w:themeColor="text1"/>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margin">
                  <wp:align>left</wp:align>
                </wp:positionH>
                <wp:positionV relativeFrom="paragraph">
                  <wp:posOffset>5423535</wp:posOffset>
                </wp:positionV>
                <wp:extent cx="5905500" cy="0"/>
                <wp:effectExtent l="0" t="0" r="19050" b="19050"/>
                <wp:wrapNone/>
                <wp:docPr id="2" name="直接连接符 2"/>
                <wp:cNvGraphicFramePr/>
                <a:graphic xmlns:a="http://schemas.openxmlformats.org/drawingml/2006/main">
                  <a:graphicData uri="http://schemas.microsoft.com/office/word/2010/wordprocessingShape">
                    <wps:wsp>
                      <wps:cNvCnPr/>
                      <wps:spPr>
                        <a:xfrm flipV="1">
                          <a:off x="0" y="0"/>
                          <a:ext cx="59055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top:427.05pt;height:0pt;width:465pt;mso-position-horizontal:left;mso-position-horizontal-relative:margin;z-index:251661312;mso-width-relative:page;mso-height-relative:page;" filled="f" stroked="t" coordsize="21600,21600" o:gfxdata="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fo3bZ9UA&#10;AAAIAQAADwAAAAAAAAABACAAAAAiAAAAZHJzL2Rvd25yZXYueG1sUEsBAhQAFAAAAAgAh07iQJYb&#10;bT3pAQAAuwMAAA4AAAAAAAAAAQAgAAAAJAEAAGRycy9lMm9Eb2MueG1sUEsFBgAAAAAGAAYAWQEA&#10;AH8FAAAAAA==&#10;">
                <v:fill on="f" focussize="0,0"/>
                <v:stroke weight="0.5pt" color="#000000 [3213]" miterlimit="8" joinstyle="miter"/>
                <v:imagedata o:title=""/>
                <o:lock v:ext="edit" aspectratio="f"/>
              </v:line>
            </w:pict>
          </mc:Fallback>
        </mc:AlternateContent>
      </w:r>
    </w:p>
    <w:p>
      <w:pPr>
        <w:ind w:firstLine="640"/>
        <w:jc w:val="center"/>
        <w:outlineLvl w:val="1"/>
        <w:rPr>
          <w:rFonts w:ascii="黑体" w:hAnsi="黑体" w:eastAsia="黑体"/>
          <w:color w:val="000000" w:themeColor="text1"/>
          <w:sz w:val="32"/>
          <w:szCs w:val="32"/>
          <w14:textFill>
            <w14:solidFill>
              <w14:schemeClr w14:val="tx1"/>
            </w14:solidFill>
          </w14:textFill>
        </w:rPr>
      </w:pPr>
      <w:bookmarkStart w:id="10" w:name="_Toc60062630"/>
      <w:bookmarkStart w:id="11" w:name="_Toc61870907"/>
      <w:bookmarkStart w:id="12" w:name="_Toc60062746"/>
      <w:bookmarkStart w:id="13" w:name="_Toc60151917"/>
      <w:bookmarkStart w:id="14" w:name="_Toc60150024"/>
      <w:bookmarkStart w:id="15" w:name="_Toc60062819"/>
      <w:bookmarkStart w:id="16" w:name="_Toc24142"/>
      <w:bookmarkStart w:id="17" w:name="_Toc5121"/>
      <w:r>
        <w:rPr>
          <w:rFonts w:hint="eastAsia" w:ascii="黑体" w:hAnsi="黑体" w:eastAsia="黑体"/>
          <w:color w:val="000000" w:themeColor="text1"/>
          <w:sz w:val="32"/>
          <w:szCs w:val="32"/>
          <w14:textFill>
            <w14:solidFill>
              <w14:schemeClr w14:val="tx1"/>
            </w14:solidFill>
          </w14:textFill>
        </w:rPr>
        <w:t xml:space="preserve">目 </w:t>
      </w:r>
      <w:r>
        <w:rPr>
          <w:rFonts w:ascii="黑体" w:hAnsi="黑体" w:eastAsia="黑体"/>
          <w:color w:val="000000" w:themeColor="text1"/>
          <w:sz w:val="32"/>
          <w:szCs w:val="32"/>
          <w14:textFill>
            <w14:solidFill>
              <w14:schemeClr w14:val="tx1"/>
            </w14:solidFill>
          </w14:textFill>
        </w:rPr>
        <w:t xml:space="preserve">   </w:t>
      </w:r>
      <w:r>
        <w:rPr>
          <w:rFonts w:hint="eastAsia" w:ascii="黑体" w:hAnsi="黑体" w:eastAsia="黑体"/>
          <w:color w:val="000000" w:themeColor="text1"/>
          <w:sz w:val="32"/>
          <w:szCs w:val="32"/>
          <w14:textFill>
            <w14:solidFill>
              <w14:schemeClr w14:val="tx1"/>
            </w14:solidFill>
          </w14:textFill>
        </w:rPr>
        <w:t>录</w:t>
      </w:r>
      <w:bookmarkEnd w:id="10"/>
      <w:bookmarkEnd w:id="11"/>
      <w:bookmarkEnd w:id="12"/>
      <w:bookmarkEnd w:id="13"/>
      <w:bookmarkEnd w:id="14"/>
      <w:bookmarkEnd w:id="15"/>
      <w:bookmarkEnd w:id="16"/>
      <w:bookmarkEnd w:id="17"/>
    </w:p>
    <w:p/>
    <w:sdt>
      <w:sdtPr>
        <w:rPr>
          <w:color w:val="000000" w:themeColor="text1"/>
          <w:lang w:val="zh-CN"/>
          <w14:textFill>
            <w14:solidFill>
              <w14:schemeClr w14:val="tx1"/>
            </w14:solidFill>
          </w14:textFill>
        </w:rPr>
        <w:id w:val="-1194302836"/>
        <w:docPartObj>
          <w:docPartGallery w:val="Table of Contents"/>
          <w:docPartUnique/>
        </w:docPartObj>
      </w:sdtPr>
      <w:sdtEndPr>
        <w:rPr>
          <w:b/>
          <w:bCs/>
          <w:color w:val="000000" w:themeColor="text1"/>
          <w:lang w:val="zh-CN"/>
          <w14:textFill>
            <w14:solidFill>
              <w14:schemeClr w14:val="tx1"/>
            </w14:solidFill>
          </w14:textFill>
        </w:rPr>
      </w:sdtEndPr>
      <w:sdtContent>
        <w:p>
          <w:pPr>
            <w:ind w:firstLine="422"/>
            <w:rPr>
              <w:color w:val="000000" w:themeColor="text1"/>
              <w:lang w:val="zh-CN"/>
              <w14:textFill>
                <w14:solidFill>
                  <w14:schemeClr w14:val="tx1"/>
                </w14:solidFill>
              </w14:textFill>
            </w:rPr>
          </w:pPr>
        </w:p>
        <w:p>
          <w:pPr>
            <w:pStyle w:val="10"/>
            <w:tabs>
              <w:tab w:val="right" w:leader="dot" w:pos="9354"/>
            </w:tabs>
          </w:pPr>
          <w:r>
            <w:fldChar w:fldCharType="begin"/>
          </w:r>
          <w:r>
            <w:instrText xml:space="preserve">TOC \o "1-3" \h \u </w:instrText>
          </w:r>
          <w:r>
            <w:fldChar w:fldCharType="separate"/>
          </w:r>
        </w:p>
        <w:p>
          <w:pPr>
            <w:pStyle w:val="10"/>
            <w:tabs>
              <w:tab w:val="right" w:leader="dot" w:pos="9354"/>
            </w:tabs>
          </w:pPr>
          <w:r>
            <w:fldChar w:fldCharType="begin"/>
          </w:r>
          <w:r>
            <w:instrText xml:space="preserve"> HYPERLINK \l _Toc14252 </w:instrText>
          </w:r>
          <w:r>
            <w:fldChar w:fldCharType="separate"/>
          </w:r>
          <w:r>
            <w:rPr>
              <w:rFonts w:hint="eastAsia"/>
            </w:rPr>
            <w:t>1</w:t>
          </w:r>
          <w:r>
            <w:rPr>
              <w:rFonts w:hint="eastAsia"/>
              <w:lang w:eastAsia="zh-CN"/>
            </w:rPr>
            <w:t>、</w:t>
          </w:r>
          <w:r>
            <w:rPr>
              <w:rFonts w:hint="eastAsia"/>
            </w:rPr>
            <w:t>范围</w:t>
          </w:r>
          <w:r>
            <w:tab/>
          </w:r>
          <w:r>
            <w:fldChar w:fldCharType="begin"/>
          </w:r>
          <w:r>
            <w:instrText xml:space="preserve"> PAGEREF _Toc14252 </w:instrText>
          </w:r>
          <w:r>
            <w:fldChar w:fldCharType="separate"/>
          </w:r>
          <w:r>
            <w:t>1</w:t>
          </w:r>
          <w:r>
            <w:fldChar w:fldCharType="end"/>
          </w:r>
          <w:r>
            <w:fldChar w:fldCharType="end"/>
          </w:r>
        </w:p>
        <w:p>
          <w:pPr>
            <w:pStyle w:val="10"/>
            <w:tabs>
              <w:tab w:val="right" w:leader="dot" w:pos="9354"/>
            </w:tabs>
          </w:pPr>
          <w:r>
            <w:fldChar w:fldCharType="begin"/>
          </w:r>
          <w:r>
            <w:instrText xml:space="preserve"> HYPERLINK \l _Toc6495 </w:instrText>
          </w:r>
          <w:r>
            <w:fldChar w:fldCharType="separate"/>
          </w:r>
          <w:r>
            <w:rPr>
              <w:rFonts w:hint="eastAsia"/>
            </w:rPr>
            <w:t>2、规范性引用文件</w:t>
          </w:r>
          <w:r>
            <w:tab/>
          </w:r>
          <w:r>
            <w:fldChar w:fldCharType="begin"/>
          </w:r>
          <w:r>
            <w:instrText xml:space="preserve"> PAGEREF _Toc6495 </w:instrText>
          </w:r>
          <w:r>
            <w:fldChar w:fldCharType="separate"/>
          </w:r>
          <w:r>
            <w:t>2</w:t>
          </w:r>
          <w:r>
            <w:fldChar w:fldCharType="end"/>
          </w:r>
          <w:r>
            <w:fldChar w:fldCharType="end"/>
          </w:r>
        </w:p>
        <w:p>
          <w:pPr>
            <w:pStyle w:val="10"/>
            <w:tabs>
              <w:tab w:val="right" w:leader="dot" w:pos="9354"/>
            </w:tabs>
          </w:pPr>
          <w:r>
            <w:fldChar w:fldCharType="begin"/>
          </w:r>
          <w:r>
            <w:instrText xml:space="preserve"> HYPERLINK \l _Toc23234 </w:instrText>
          </w:r>
          <w:r>
            <w:fldChar w:fldCharType="separate"/>
          </w:r>
          <w:r>
            <w:rPr>
              <w:rFonts w:hint="eastAsia"/>
            </w:rPr>
            <w:t>3、术语和定义</w:t>
          </w:r>
          <w:r>
            <w:tab/>
          </w:r>
          <w:r>
            <w:fldChar w:fldCharType="begin"/>
          </w:r>
          <w:r>
            <w:instrText xml:space="preserve"> PAGEREF _Toc23234 </w:instrText>
          </w:r>
          <w:r>
            <w:fldChar w:fldCharType="separate"/>
          </w:r>
          <w:r>
            <w:t>3</w:t>
          </w:r>
          <w:r>
            <w:fldChar w:fldCharType="end"/>
          </w:r>
          <w:r>
            <w:fldChar w:fldCharType="end"/>
          </w:r>
        </w:p>
        <w:p>
          <w:pPr>
            <w:pStyle w:val="11"/>
            <w:tabs>
              <w:tab w:val="right" w:leader="dot" w:pos="9354"/>
            </w:tabs>
          </w:pPr>
          <w:r>
            <w:fldChar w:fldCharType="begin"/>
          </w:r>
          <w:r>
            <w:instrText xml:space="preserve"> HYPERLINK \l _Toc10582 </w:instrText>
          </w:r>
          <w:r>
            <w:fldChar w:fldCharType="separate"/>
          </w:r>
          <w:r>
            <w:rPr>
              <w:rFonts w:ascii="黑体" w:hAnsi="黑体" w:eastAsia="黑体" w:cs="Times New Roman"/>
              <w:szCs w:val="21"/>
            </w:rPr>
            <w:t>3.0.1</w:t>
          </w:r>
          <w:r>
            <w:rPr>
              <w:rFonts w:hint="eastAsia" w:cs="Times New Roman"/>
              <w:szCs w:val="21"/>
            </w:rPr>
            <w:t>绿色建筑技术</w:t>
          </w:r>
          <w:r>
            <w:rPr>
              <w:rFonts w:cs="Times New Roman"/>
              <w:szCs w:val="21"/>
            </w:rPr>
            <w:t>咨询服务</w:t>
          </w:r>
          <w:r>
            <w:tab/>
          </w:r>
          <w:r>
            <w:fldChar w:fldCharType="begin"/>
          </w:r>
          <w:r>
            <w:instrText xml:space="preserve"> PAGEREF _Toc10582 </w:instrText>
          </w:r>
          <w:r>
            <w:fldChar w:fldCharType="separate"/>
          </w:r>
          <w:r>
            <w:t>3</w:t>
          </w:r>
          <w:r>
            <w:fldChar w:fldCharType="end"/>
          </w:r>
          <w:r>
            <w:fldChar w:fldCharType="end"/>
          </w:r>
        </w:p>
        <w:p>
          <w:pPr>
            <w:pStyle w:val="11"/>
            <w:tabs>
              <w:tab w:val="right" w:leader="dot" w:pos="9354"/>
            </w:tabs>
          </w:pPr>
          <w:r>
            <w:fldChar w:fldCharType="begin"/>
          </w:r>
          <w:r>
            <w:instrText xml:space="preserve"> HYPERLINK \l _Toc29396 </w:instrText>
          </w:r>
          <w:r>
            <w:fldChar w:fldCharType="separate"/>
          </w:r>
          <w:r>
            <w:rPr>
              <w:rFonts w:hint="eastAsia" w:ascii="黑体" w:hAnsi="黑体" w:eastAsia="黑体" w:cs="Times New Roman"/>
              <w:szCs w:val="21"/>
            </w:rPr>
            <w:t>3.</w:t>
          </w:r>
          <w:r>
            <w:rPr>
              <w:rFonts w:ascii="黑体" w:hAnsi="黑体" w:eastAsia="黑体" w:cs="Times New Roman"/>
              <w:szCs w:val="21"/>
            </w:rPr>
            <w:t>0.</w:t>
          </w:r>
          <w:r>
            <w:rPr>
              <w:rFonts w:hint="eastAsia" w:ascii="黑体" w:hAnsi="黑体" w:eastAsia="黑体" w:cs="Times New Roman"/>
              <w:szCs w:val="21"/>
            </w:rPr>
            <w:t>2</w:t>
          </w:r>
          <w:r>
            <w:rPr>
              <w:rFonts w:hint="eastAsia" w:cs="Times New Roman"/>
              <w:szCs w:val="21"/>
            </w:rPr>
            <w:t>绿色建筑技术咨询服务成果</w:t>
          </w:r>
          <w:r>
            <w:tab/>
          </w:r>
          <w:r>
            <w:fldChar w:fldCharType="begin"/>
          </w:r>
          <w:r>
            <w:instrText xml:space="preserve"> PAGEREF _Toc29396 </w:instrText>
          </w:r>
          <w:r>
            <w:fldChar w:fldCharType="separate"/>
          </w:r>
          <w:r>
            <w:t>3</w:t>
          </w:r>
          <w:r>
            <w:fldChar w:fldCharType="end"/>
          </w:r>
          <w:r>
            <w:fldChar w:fldCharType="end"/>
          </w:r>
        </w:p>
        <w:p>
          <w:pPr>
            <w:pStyle w:val="10"/>
            <w:tabs>
              <w:tab w:val="right" w:leader="dot" w:pos="9354"/>
            </w:tabs>
          </w:pPr>
          <w:r>
            <w:fldChar w:fldCharType="begin"/>
          </w:r>
          <w:r>
            <w:instrText xml:space="preserve"> HYPERLINK \l _Toc28250 </w:instrText>
          </w:r>
          <w:r>
            <w:fldChar w:fldCharType="separate"/>
          </w:r>
          <w:r>
            <w:rPr>
              <w:rFonts w:hint="eastAsia"/>
            </w:rPr>
            <w:t>4、行业自律要求</w:t>
          </w:r>
          <w:r>
            <w:tab/>
          </w:r>
          <w:r>
            <w:fldChar w:fldCharType="begin"/>
          </w:r>
          <w:r>
            <w:instrText xml:space="preserve"> PAGEREF _Toc28250 </w:instrText>
          </w:r>
          <w:r>
            <w:fldChar w:fldCharType="separate"/>
          </w:r>
          <w:r>
            <w:t>4</w:t>
          </w:r>
          <w:r>
            <w:fldChar w:fldCharType="end"/>
          </w:r>
          <w:r>
            <w:fldChar w:fldCharType="end"/>
          </w:r>
        </w:p>
        <w:p>
          <w:pPr>
            <w:pStyle w:val="11"/>
            <w:tabs>
              <w:tab w:val="right" w:leader="dot" w:pos="9354"/>
            </w:tabs>
          </w:pPr>
          <w:r>
            <w:fldChar w:fldCharType="begin"/>
          </w:r>
          <w:r>
            <w:instrText xml:space="preserve"> HYPERLINK \l _Toc19637 </w:instrText>
          </w:r>
          <w:r>
            <w:fldChar w:fldCharType="separate"/>
          </w:r>
          <w:r>
            <w:rPr>
              <w:rFonts w:hint="eastAsia"/>
            </w:rPr>
            <w:t>4</w:t>
          </w:r>
          <w:r>
            <w:t>.1</w:t>
          </w:r>
          <w:r>
            <w:rPr>
              <w:rFonts w:hint="eastAsia"/>
            </w:rPr>
            <w:t xml:space="preserve"> 基本要求</w:t>
          </w:r>
          <w:r>
            <w:tab/>
          </w:r>
          <w:r>
            <w:fldChar w:fldCharType="begin"/>
          </w:r>
          <w:r>
            <w:instrText xml:space="preserve"> PAGEREF _Toc19637 </w:instrText>
          </w:r>
          <w:r>
            <w:fldChar w:fldCharType="separate"/>
          </w:r>
          <w:r>
            <w:t>4</w:t>
          </w:r>
          <w:r>
            <w:fldChar w:fldCharType="end"/>
          </w:r>
          <w:r>
            <w:fldChar w:fldCharType="end"/>
          </w:r>
        </w:p>
        <w:p>
          <w:pPr>
            <w:pStyle w:val="11"/>
            <w:tabs>
              <w:tab w:val="right" w:leader="dot" w:pos="9354"/>
            </w:tabs>
          </w:pPr>
          <w:r>
            <w:fldChar w:fldCharType="begin"/>
          </w:r>
          <w:r>
            <w:instrText xml:space="preserve"> HYPERLINK \l _Toc29712 </w:instrText>
          </w:r>
          <w:r>
            <w:fldChar w:fldCharType="separate"/>
          </w:r>
          <w:r>
            <w:rPr>
              <w:rFonts w:hint="eastAsia"/>
            </w:rPr>
            <w:t>4</w:t>
          </w:r>
          <w:r>
            <w:t>.2</w:t>
          </w:r>
          <w:r>
            <w:rPr>
              <w:rFonts w:hint="eastAsia"/>
            </w:rPr>
            <w:t xml:space="preserve"> 企业要求</w:t>
          </w:r>
          <w:r>
            <w:tab/>
          </w:r>
          <w:r>
            <w:fldChar w:fldCharType="begin"/>
          </w:r>
          <w:r>
            <w:instrText xml:space="preserve"> PAGEREF _Toc29712 </w:instrText>
          </w:r>
          <w:r>
            <w:fldChar w:fldCharType="separate"/>
          </w:r>
          <w:r>
            <w:t>4</w:t>
          </w:r>
          <w:r>
            <w:fldChar w:fldCharType="end"/>
          </w:r>
          <w:r>
            <w:fldChar w:fldCharType="end"/>
          </w:r>
        </w:p>
        <w:p>
          <w:pPr>
            <w:pStyle w:val="11"/>
            <w:tabs>
              <w:tab w:val="right" w:leader="dot" w:pos="9354"/>
            </w:tabs>
          </w:pPr>
          <w:r>
            <w:fldChar w:fldCharType="begin"/>
          </w:r>
          <w:r>
            <w:instrText xml:space="preserve"> HYPERLINK \l _Toc22312 </w:instrText>
          </w:r>
          <w:r>
            <w:fldChar w:fldCharType="separate"/>
          </w:r>
          <w:r>
            <w:rPr>
              <w:rFonts w:hint="eastAsia"/>
            </w:rPr>
            <w:t>4</w:t>
          </w:r>
          <w:r>
            <w:t>.3</w:t>
          </w:r>
          <w:r>
            <w:rPr>
              <w:rFonts w:hint="eastAsia"/>
            </w:rPr>
            <w:t xml:space="preserve"> 人员要求</w:t>
          </w:r>
          <w:r>
            <w:tab/>
          </w:r>
          <w:r>
            <w:fldChar w:fldCharType="begin"/>
          </w:r>
          <w:r>
            <w:instrText xml:space="preserve"> PAGEREF _Toc22312 </w:instrText>
          </w:r>
          <w:r>
            <w:fldChar w:fldCharType="separate"/>
          </w:r>
          <w:r>
            <w:t>4</w:t>
          </w:r>
          <w:r>
            <w:fldChar w:fldCharType="end"/>
          </w:r>
          <w:r>
            <w:fldChar w:fldCharType="end"/>
          </w:r>
        </w:p>
        <w:p>
          <w:pPr>
            <w:pStyle w:val="11"/>
            <w:tabs>
              <w:tab w:val="right" w:leader="dot" w:pos="9354"/>
            </w:tabs>
          </w:pPr>
          <w:r>
            <w:fldChar w:fldCharType="begin"/>
          </w:r>
          <w:r>
            <w:instrText xml:space="preserve"> HYPERLINK \l _Toc279 </w:instrText>
          </w:r>
          <w:r>
            <w:fldChar w:fldCharType="separate"/>
          </w:r>
          <w:r>
            <w:rPr>
              <w:rFonts w:hint="eastAsia"/>
            </w:rPr>
            <w:t>4</w:t>
          </w:r>
          <w:r>
            <w:t>.4</w:t>
          </w:r>
          <w:r>
            <w:rPr>
              <w:rFonts w:hint="eastAsia"/>
            </w:rPr>
            <w:t xml:space="preserve"> 质量要求</w:t>
          </w:r>
          <w:r>
            <w:tab/>
          </w:r>
          <w:r>
            <w:fldChar w:fldCharType="begin"/>
          </w:r>
          <w:r>
            <w:instrText xml:space="preserve"> PAGEREF _Toc279 </w:instrText>
          </w:r>
          <w:r>
            <w:fldChar w:fldCharType="separate"/>
          </w:r>
          <w:r>
            <w:t>4</w:t>
          </w:r>
          <w:r>
            <w:fldChar w:fldCharType="end"/>
          </w:r>
          <w:r>
            <w:fldChar w:fldCharType="end"/>
          </w:r>
        </w:p>
        <w:p>
          <w:pPr>
            <w:pStyle w:val="11"/>
            <w:tabs>
              <w:tab w:val="right" w:leader="dot" w:pos="9354"/>
            </w:tabs>
          </w:pPr>
          <w:r>
            <w:fldChar w:fldCharType="begin"/>
          </w:r>
          <w:r>
            <w:instrText xml:space="preserve"> HYPERLINK \l _Toc11667 </w:instrText>
          </w:r>
          <w:r>
            <w:fldChar w:fldCharType="separate"/>
          </w:r>
          <w:r>
            <w:rPr>
              <w:rFonts w:hint="eastAsia"/>
            </w:rPr>
            <w:t>4</w:t>
          </w:r>
          <w:r>
            <w:t>.5</w:t>
          </w:r>
          <w:r>
            <w:rPr>
              <w:rFonts w:hint="eastAsia"/>
            </w:rPr>
            <w:t xml:space="preserve"> 行为要求</w:t>
          </w:r>
          <w:r>
            <w:tab/>
          </w:r>
          <w:r>
            <w:fldChar w:fldCharType="begin"/>
          </w:r>
          <w:r>
            <w:instrText xml:space="preserve"> PAGEREF _Toc11667 </w:instrText>
          </w:r>
          <w:r>
            <w:fldChar w:fldCharType="separate"/>
          </w:r>
          <w:r>
            <w:t>5</w:t>
          </w:r>
          <w:r>
            <w:fldChar w:fldCharType="end"/>
          </w:r>
          <w:r>
            <w:fldChar w:fldCharType="end"/>
          </w:r>
        </w:p>
        <w:p>
          <w:pPr>
            <w:pStyle w:val="11"/>
            <w:tabs>
              <w:tab w:val="right" w:leader="dot" w:pos="9354"/>
            </w:tabs>
          </w:pPr>
          <w:r>
            <w:fldChar w:fldCharType="begin"/>
          </w:r>
          <w:r>
            <w:instrText xml:space="preserve"> HYPERLINK \l _Toc32121 </w:instrText>
          </w:r>
          <w:r>
            <w:fldChar w:fldCharType="separate"/>
          </w:r>
          <w:r>
            <w:rPr>
              <w:rFonts w:hint="eastAsia"/>
            </w:rPr>
            <w:t>4</w:t>
          </w:r>
          <w:r>
            <w:t>.6</w:t>
          </w:r>
          <w:r>
            <w:rPr>
              <w:rFonts w:hint="eastAsia"/>
            </w:rPr>
            <w:t xml:space="preserve"> 管理要求</w:t>
          </w:r>
          <w:r>
            <w:tab/>
          </w:r>
          <w:r>
            <w:fldChar w:fldCharType="begin"/>
          </w:r>
          <w:r>
            <w:instrText xml:space="preserve"> PAGEREF _Toc32121 </w:instrText>
          </w:r>
          <w:r>
            <w:fldChar w:fldCharType="separate"/>
          </w:r>
          <w:r>
            <w:t>5</w:t>
          </w:r>
          <w:r>
            <w:fldChar w:fldCharType="end"/>
          </w:r>
          <w:r>
            <w:fldChar w:fldCharType="end"/>
          </w:r>
        </w:p>
        <w:p>
          <w:pPr>
            <w:pStyle w:val="10"/>
            <w:tabs>
              <w:tab w:val="right" w:leader="dot" w:pos="9354"/>
            </w:tabs>
          </w:pPr>
          <w:r>
            <w:fldChar w:fldCharType="begin"/>
          </w:r>
          <w:r>
            <w:instrText xml:space="preserve"> HYPERLINK \l _Toc20776 </w:instrText>
          </w:r>
          <w:r>
            <w:fldChar w:fldCharType="separate"/>
          </w:r>
          <w:r>
            <w:rPr>
              <w:rFonts w:hint="eastAsia"/>
            </w:rPr>
            <w:t>5、监督机制</w:t>
          </w:r>
          <w:r>
            <w:tab/>
          </w:r>
          <w:r>
            <w:fldChar w:fldCharType="begin"/>
          </w:r>
          <w:r>
            <w:instrText xml:space="preserve"> PAGEREF _Toc20776 </w:instrText>
          </w:r>
          <w:r>
            <w:fldChar w:fldCharType="separate"/>
          </w:r>
          <w:r>
            <w:t>6</w:t>
          </w:r>
          <w:r>
            <w:fldChar w:fldCharType="end"/>
          </w:r>
          <w:r>
            <w:fldChar w:fldCharType="end"/>
          </w:r>
        </w:p>
        <w:p>
          <w:pPr>
            <w:pStyle w:val="11"/>
            <w:tabs>
              <w:tab w:val="right" w:leader="dot" w:pos="9354"/>
            </w:tabs>
          </w:pPr>
          <w:r>
            <w:fldChar w:fldCharType="begin"/>
          </w:r>
          <w:r>
            <w:instrText xml:space="preserve"> HYPERLINK \l _Toc422 </w:instrText>
          </w:r>
          <w:r>
            <w:fldChar w:fldCharType="separate"/>
          </w:r>
          <w:r>
            <w:rPr>
              <w:rFonts w:hint="eastAsia"/>
            </w:rPr>
            <w:t>5</w:t>
          </w:r>
          <w:r>
            <w:t>.1</w:t>
          </w:r>
          <w:r>
            <w:rPr>
              <w:rFonts w:hint="eastAsia"/>
            </w:rPr>
            <w:t xml:space="preserve"> 基本要求</w:t>
          </w:r>
          <w:r>
            <w:tab/>
          </w:r>
          <w:r>
            <w:fldChar w:fldCharType="begin"/>
          </w:r>
          <w:r>
            <w:instrText xml:space="preserve"> PAGEREF _Toc422 </w:instrText>
          </w:r>
          <w:r>
            <w:fldChar w:fldCharType="separate"/>
          </w:r>
          <w:r>
            <w:t>6</w:t>
          </w:r>
          <w:r>
            <w:fldChar w:fldCharType="end"/>
          </w:r>
          <w:r>
            <w:fldChar w:fldCharType="end"/>
          </w:r>
        </w:p>
        <w:p>
          <w:pPr>
            <w:pStyle w:val="11"/>
            <w:tabs>
              <w:tab w:val="right" w:leader="dot" w:pos="9354"/>
            </w:tabs>
          </w:pPr>
          <w:r>
            <w:fldChar w:fldCharType="begin"/>
          </w:r>
          <w:r>
            <w:instrText xml:space="preserve"> HYPERLINK \l _Toc19579 </w:instrText>
          </w:r>
          <w:r>
            <w:fldChar w:fldCharType="separate"/>
          </w:r>
          <w:r>
            <w:rPr>
              <w:rFonts w:hint="eastAsia"/>
            </w:rPr>
            <w:t>5</w:t>
          </w:r>
          <w:r>
            <w:t>.2</w:t>
          </w:r>
          <w:r>
            <w:rPr>
              <w:rFonts w:hint="eastAsia"/>
            </w:rPr>
            <w:t xml:space="preserve"> 管理监督</w:t>
          </w:r>
          <w:r>
            <w:tab/>
          </w:r>
          <w:r>
            <w:fldChar w:fldCharType="begin"/>
          </w:r>
          <w:r>
            <w:instrText xml:space="preserve"> PAGEREF _Toc19579 </w:instrText>
          </w:r>
          <w:r>
            <w:fldChar w:fldCharType="separate"/>
          </w:r>
          <w:r>
            <w:t>6</w:t>
          </w:r>
          <w:r>
            <w:fldChar w:fldCharType="end"/>
          </w:r>
          <w:r>
            <w:fldChar w:fldCharType="end"/>
          </w:r>
        </w:p>
        <w:p>
          <w:pPr>
            <w:pStyle w:val="11"/>
            <w:tabs>
              <w:tab w:val="right" w:leader="dot" w:pos="9354"/>
            </w:tabs>
          </w:pPr>
          <w:r>
            <w:fldChar w:fldCharType="begin"/>
          </w:r>
          <w:r>
            <w:instrText xml:space="preserve"> HYPERLINK \l _Toc31294 </w:instrText>
          </w:r>
          <w:r>
            <w:fldChar w:fldCharType="separate"/>
          </w:r>
          <w:r>
            <w:rPr>
              <w:rFonts w:hint="eastAsia"/>
            </w:rPr>
            <w:t>5</w:t>
          </w:r>
          <w:r>
            <w:t>.3</w:t>
          </w:r>
          <w:r>
            <w:rPr>
              <w:rFonts w:hint="eastAsia"/>
            </w:rPr>
            <w:t xml:space="preserve"> 违规行为</w:t>
          </w:r>
          <w:r>
            <w:tab/>
          </w:r>
          <w:r>
            <w:fldChar w:fldCharType="begin"/>
          </w:r>
          <w:r>
            <w:instrText xml:space="preserve"> PAGEREF _Toc31294 </w:instrText>
          </w:r>
          <w:r>
            <w:fldChar w:fldCharType="separate"/>
          </w:r>
          <w:r>
            <w:t>6</w:t>
          </w:r>
          <w:r>
            <w:fldChar w:fldCharType="end"/>
          </w:r>
          <w:r>
            <w:fldChar w:fldCharType="end"/>
          </w:r>
        </w:p>
        <w:p>
          <w:pPr>
            <w:pStyle w:val="11"/>
            <w:tabs>
              <w:tab w:val="right" w:leader="dot" w:pos="9354"/>
            </w:tabs>
          </w:pPr>
          <w:r>
            <w:fldChar w:fldCharType="begin"/>
          </w:r>
          <w:r>
            <w:instrText xml:space="preserve"> HYPERLINK \l _Toc7327 </w:instrText>
          </w:r>
          <w:r>
            <w:fldChar w:fldCharType="separate"/>
          </w:r>
          <w:r>
            <w:rPr>
              <w:rFonts w:hint="eastAsia"/>
            </w:rPr>
            <w:t>5</w:t>
          </w:r>
          <w:r>
            <w:t>.4</w:t>
          </w:r>
          <w:r>
            <w:rPr>
              <w:rFonts w:hint="eastAsia"/>
            </w:rPr>
            <w:t xml:space="preserve"> 处理申诉</w:t>
          </w:r>
          <w:r>
            <w:tab/>
          </w:r>
          <w:r>
            <w:fldChar w:fldCharType="begin"/>
          </w:r>
          <w:r>
            <w:instrText xml:space="preserve"> PAGEREF _Toc7327 </w:instrText>
          </w:r>
          <w:r>
            <w:fldChar w:fldCharType="separate"/>
          </w:r>
          <w:r>
            <w:t>7</w:t>
          </w:r>
          <w:r>
            <w:fldChar w:fldCharType="end"/>
          </w:r>
          <w:r>
            <w:fldChar w:fldCharType="end"/>
          </w:r>
        </w:p>
        <w:p>
          <w:r>
            <w:fldChar w:fldCharType="end"/>
          </w:r>
        </w:p>
        <w:p>
          <w:pPr>
            <w:ind w:firstLine="422"/>
            <w:rPr>
              <w:color w:val="000000" w:themeColor="text1"/>
              <w14:textFill>
                <w14:solidFill>
                  <w14:schemeClr w14:val="tx1"/>
                </w14:solidFill>
              </w14:textFill>
            </w:rPr>
          </w:pPr>
        </w:p>
      </w:sdtContent>
    </w:sdt>
    <w:p>
      <w:pPr>
        <w:ind w:firstLine="640"/>
        <w:jc w:val="center"/>
        <w:outlineLvl w:val="1"/>
        <w:rPr>
          <w:rFonts w:ascii="黑体" w:hAnsi="黑体" w:eastAsia="黑体"/>
          <w:color w:val="000000" w:themeColor="text1"/>
          <w:sz w:val="32"/>
          <w:szCs w:val="32"/>
          <w14:textFill>
            <w14:solidFill>
              <w14:schemeClr w14:val="tx1"/>
            </w14:solidFill>
          </w14:textFill>
        </w:rPr>
        <w:sectPr>
          <w:headerReference r:id="rId9" w:type="default"/>
          <w:pgSz w:w="11906" w:h="16838"/>
          <w:pgMar w:top="1418" w:right="1134" w:bottom="1440" w:left="1418" w:header="851" w:footer="992" w:gutter="0"/>
          <w:cols w:space="425" w:num="1"/>
          <w:docGrid w:type="lines" w:linePitch="312" w:charSpace="0"/>
        </w:sectPr>
      </w:pPr>
    </w:p>
    <w:p>
      <w:pPr>
        <w:pStyle w:val="2"/>
        <w:ind w:firstLine="643"/>
        <w:rPr>
          <w:color w:val="000000" w:themeColor="text1"/>
          <w14:textFill>
            <w14:solidFill>
              <w14:schemeClr w14:val="tx1"/>
            </w14:solidFill>
          </w14:textFill>
        </w:rPr>
      </w:pPr>
      <w:bookmarkStart w:id="18" w:name="_Toc15320"/>
      <w:bookmarkStart w:id="19" w:name="_Toc61870909"/>
      <w:bookmarkStart w:id="20" w:name="_Toc20405"/>
      <w:r>
        <w:rPr>
          <w:rFonts w:hint="eastAsia"/>
          <w:color w:val="000000" w:themeColor="text1"/>
          <w14:textFill>
            <w14:solidFill>
              <w14:schemeClr w14:val="tx1"/>
            </w14:solidFill>
          </w14:textFill>
        </w:rPr>
        <w:t xml:space="preserve">前 </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言</w:t>
      </w:r>
      <w:bookmarkEnd w:id="18"/>
      <w:bookmarkEnd w:id="19"/>
      <w:bookmarkEnd w:id="20"/>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本标准按照</w:t>
      </w:r>
      <w:r>
        <w:rPr>
          <w:rFonts w:hint="eastAsia" w:cs="Times New Roman"/>
          <w:color w:val="000000" w:themeColor="text1"/>
          <w:szCs w:val="21"/>
          <w14:textFill>
            <w14:solidFill>
              <w14:schemeClr w14:val="tx1"/>
            </w14:solidFill>
          </w14:textFill>
        </w:rPr>
        <w:t>《标准化工作导则 第1部分标准的结构和编写》</w:t>
      </w:r>
      <w:r>
        <w:rPr>
          <w:rFonts w:cs="Times New Roman"/>
          <w:color w:val="000000" w:themeColor="text1"/>
          <w:szCs w:val="21"/>
          <w14:textFill>
            <w14:solidFill>
              <w14:schemeClr w14:val="tx1"/>
            </w14:solidFill>
          </w14:textFill>
        </w:rPr>
        <w:t>GB/T 1.1-2009规则起草。</w:t>
      </w:r>
    </w:p>
    <w:p>
      <w:pPr>
        <w:spacing w:line="400" w:lineRule="exact"/>
        <w:ind w:firstLine="420"/>
        <w:rPr>
          <w:rFonts w:cs="Times New Roman"/>
          <w:color w:val="FF0000"/>
          <w:szCs w:val="21"/>
        </w:rPr>
      </w:pPr>
      <w:r>
        <w:rPr>
          <w:rFonts w:hint="eastAsia" w:cs="Times New Roman"/>
          <w:color w:val="000000" w:themeColor="text1"/>
          <w:szCs w:val="21"/>
          <w14:textFill>
            <w14:solidFill>
              <w14:schemeClr w14:val="tx1"/>
            </w14:solidFill>
          </w14:textFill>
        </w:rPr>
        <w:t>本标准由重庆市绿色建筑与建筑产业化协</w:t>
      </w:r>
      <w:r>
        <w:rPr>
          <w:rFonts w:hint="eastAsia" w:cs="Times New Roman"/>
          <w:szCs w:val="21"/>
        </w:rPr>
        <w:t>会提出并归口。</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本标准版权归重庆市绿色建筑与建筑产业化协会所有。未经许可，不得擅自复制、转载、抄袭、改变、汇编、翻译或将本标准用于其他任何商业目的。</w:t>
      </w:r>
    </w:p>
    <w:p>
      <w:pPr>
        <w:spacing w:line="400" w:lineRule="exact"/>
        <w:ind w:firstLine="420"/>
        <w:rPr>
          <w:rFonts w:hint="eastAsia"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本标准主编单位：重庆市绿色建筑与建筑产业化协会技术咨询与服务分会</w:t>
      </w:r>
    </w:p>
    <w:p>
      <w:pPr>
        <w:spacing w:line="400" w:lineRule="exact"/>
        <w:ind w:firstLine="420"/>
        <w:rPr>
          <w:rFonts w:hint="eastAsia"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本标准参编单位：中煤科工重庆设计研究院（集团）有限公司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中机中联工程有限公司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重庆市设计院有限公司</w:t>
      </w:r>
      <w:bookmarkStart w:id="78" w:name="_GoBack"/>
      <w:bookmarkEnd w:id="78"/>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重庆市建标工程技术有限公司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重庆源道建筑规划设计有限公司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重庆绿创建筑技术咨询有限公司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重庆市市政设计研究院</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中衡卓创国际工程设计有限公司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重庆市建筑科学研究院</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 xml:space="preserve">重庆市绿色建筑技术促进中心 </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重庆市斯励博工程咨询有限公司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重庆绿境建筑设计咨询有限公司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重庆星能建筑节能技术发展有限公司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中冶赛迪工程技术股份有限公司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重庆绿能和建筑节能技术有限公司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重庆和美建筑规划设计有限公司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重庆交通大学</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重庆升源兴建筑科技有限公司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重庆九格智建筑科技有限公司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重庆市天开建筑设计事务所有限责任公司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重庆市工程管理有限公司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重庆绿航建筑科技有限公司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重庆市盛绘建筑节能科技发展有限公司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重庆上书房建筑设计顾问有限公司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重庆海申应用技术研究院有限公司</w:t>
      </w:r>
    </w:p>
    <w:p>
      <w:pPr>
        <w:spacing w:line="400" w:lineRule="exact"/>
        <w:ind w:firstLine="2100" w:firstLineChars="10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上海水石建筑规划设计股份有限公司(重庆分公司)</w:t>
      </w:r>
    </w:p>
    <w:p>
      <w:pPr>
        <w:spacing w:line="400" w:lineRule="exact"/>
        <w:ind w:firstLine="420"/>
        <w:rPr>
          <w:rFonts w:cs="Times New Roman"/>
          <w:color w:val="FF0000"/>
          <w:szCs w:val="21"/>
        </w:rPr>
      </w:pPr>
      <w:r>
        <w:rPr>
          <w:rFonts w:hint="eastAsia" w:cs="Times New Roman"/>
          <w:color w:val="000000" w:themeColor="text1"/>
          <w:szCs w:val="21"/>
          <w14:textFill>
            <w14:solidFill>
              <w14:schemeClr w14:val="tx1"/>
            </w14:solidFill>
          </w14:textFill>
        </w:rPr>
        <w:t>本标准主要起草人：曹勇、刘浩、王华夏、张仕永、秦砚瑶、刘军、何开远、谢崇实、杜磊、钱锋军、陈勇、吴思睿、王莹。</w:t>
      </w:r>
    </w:p>
    <w:p>
      <w:pPr>
        <w:spacing w:line="400" w:lineRule="exact"/>
        <w:ind w:firstLine="420"/>
        <w:rPr>
          <w:rFonts w:cs="Times New Roman"/>
          <w:color w:val="000000" w:themeColor="text1"/>
          <w:szCs w:val="21"/>
          <w14:textFill>
            <w14:solidFill>
              <w14:schemeClr w14:val="tx1"/>
            </w14:solidFill>
          </w14:textFill>
        </w:rPr>
      </w:pPr>
    </w:p>
    <w:p>
      <w:pPr>
        <w:spacing w:line="400" w:lineRule="exact"/>
        <w:ind w:firstLine="420"/>
        <w:rPr>
          <w:rFonts w:cs="Times New Roman"/>
          <w:color w:val="000000" w:themeColor="text1"/>
          <w:szCs w:val="21"/>
          <w14:textFill>
            <w14:solidFill>
              <w14:schemeClr w14:val="tx1"/>
            </w14:solidFill>
          </w14:textFill>
        </w:rPr>
        <w:sectPr>
          <w:headerReference r:id="rId10" w:type="default"/>
          <w:pgSz w:w="11906" w:h="16838"/>
          <w:pgMar w:top="1418" w:right="1134" w:bottom="1440" w:left="1418" w:header="851" w:footer="992" w:gutter="0"/>
          <w:pgNumType w:start="1"/>
          <w:cols w:space="425" w:num="1"/>
          <w:docGrid w:type="lines" w:linePitch="312" w:charSpace="0"/>
        </w:sectPr>
      </w:pPr>
    </w:p>
    <w:p>
      <w:pPr>
        <w:pStyle w:val="2"/>
        <w:ind w:firstLine="643"/>
        <w:rPr>
          <w:color w:val="000000" w:themeColor="text1"/>
          <w14:textFill>
            <w14:solidFill>
              <w14:schemeClr w14:val="tx1"/>
            </w14:solidFill>
          </w14:textFill>
        </w:rPr>
      </w:pPr>
      <w:bookmarkStart w:id="21" w:name="_Toc25563"/>
      <w:bookmarkStart w:id="22" w:name="_Toc22580"/>
      <w:bookmarkStart w:id="23" w:name="_Toc61870910"/>
      <w:r>
        <w:rPr>
          <w:rFonts w:hint="eastAsia"/>
          <w:color w:val="000000" w:themeColor="text1"/>
          <w14:textFill>
            <w14:solidFill>
              <w14:schemeClr w14:val="tx1"/>
            </w14:solidFill>
          </w14:textFill>
        </w:rPr>
        <w:t>引</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言</w:t>
      </w:r>
      <w:bookmarkEnd w:id="21"/>
      <w:bookmarkEnd w:id="22"/>
      <w:bookmarkEnd w:id="23"/>
    </w:p>
    <w:p>
      <w:pPr>
        <w:spacing w:line="400" w:lineRule="exact"/>
        <w:ind w:firstLine="640"/>
        <w:jc w:val="center"/>
        <w:rPr>
          <w:rFonts w:ascii="黑体" w:hAnsi="黑体" w:eastAsia="黑体" w:cs="Times New Roman"/>
          <w:color w:val="000000" w:themeColor="text1"/>
          <w:sz w:val="32"/>
          <w:szCs w:val="32"/>
          <w14:textFill>
            <w14:solidFill>
              <w14:schemeClr w14:val="tx1"/>
            </w14:solidFill>
          </w14:textFill>
        </w:rPr>
      </w:pP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为规</w:t>
      </w:r>
      <w:r>
        <w:rPr>
          <w:rFonts w:cs="Times New Roman"/>
          <w:szCs w:val="21"/>
        </w:rPr>
        <w:t>范</w:t>
      </w:r>
      <w:r>
        <w:rPr>
          <w:rFonts w:hint="eastAsia" w:cs="Times New Roman"/>
          <w:szCs w:val="21"/>
        </w:rPr>
        <w:t>重庆</w:t>
      </w:r>
      <w:r>
        <w:rPr>
          <w:rFonts w:cs="Times New Roman"/>
          <w:szCs w:val="21"/>
        </w:rPr>
        <w:t>市绿色建筑技术咨询服务</w:t>
      </w:r>
      <w:r>
        <w:rPr>
          <w:rFonts w:hint="eastAsia" w:cs="Times New Roman"/>
          <w:szCs w:val="21"/>
        </w:rPr>
        <w:t>公司（</w:t>
      </w:r>
      <w:r>
        <w:rPr>
          <w:rFonts w:cs="Times New Roman"/>
          <w:szCs w:val="21"/>
        </w:rPr>
        <w:t>以下简称</w:t>
      </w:r>
      <w:r>
        <w:rPr>
          <w:rFonts w:hint="eastAsia" w:cs="Times New Roman"/>
          <w:szCs w:val="21"/>
        </w:rPr>
        <w:t>“公司”）</w:t>
      </w:r>
      <w:r>
        <w:rPr>
          <w:rFonts w:cs="Times New Roman"/>
          <w:szCs w:val="21"/>
        </w:rPr>
        <w:t>的服务行为</w:t>
      </w:r>
      <w:r>
        <w:rPr>
          <w:rFonts w:hint="eastAsia" w:cs="Times New Roman"/>
          <w:szCs w:val="21"/>
        </w:rPr>
        <w:t>及相关技术咨询服务，</w:t>
      </w:r>
      <w:r>
        <w:rPr>
          <w:rFonts w:cs="Times New Roman"/>
          <w:szCs w:val="21"/>
        </w:rPr>
        <w:t>提升服务质量</w:t>
      </w:r>
      <w:r>
        <w:rPr>
          <w:rFonts w:hint="eastAsia" w:cs="Times New Roman"/>
          <w:szCs w:val="21"/>
        </w:rPr>
        <w:t>，</w:t>
      </w:r>
      <w:r>
        <w:rPr>
          <w:rFonts w:hint="eastAsia" w:ascii="宋体" w:hAnsi="宋体" w:cs="Times New Roman"/>
          <w:szCs w:val="21"/>
        </w:rPr>
        <w:t>建立技术咨询服务行业自我约</w:t>
      </w:r>
      <w:r>
        <w:rPr>
          <w:rFonts w:hint="eastAsia" w:ascii="宋体" w:hAnsi="宋体" w:cs="Times New Roman"/>
          <w:color w:val="000000" w:themeColor="text1"/>
          <w:szCs w:val="21"/>
          <w14:textFill>
            <w14:solidFill>
              <w14:schemeClr w14:val="tx1"/>
            </w14:solidFill>
          </w14:textFill>
        </w:rPr>
        <w:t>束、自我管理的机制，</w:t>
      </w:r>
      <w:r>
        <w:rPr>
          <w:rFonts w:cs="Times New Roman"/>
          <w:color w:val="000000" w:themeColor="text1"/>
          <w:szCs w:val="21"/>
          <w14:textFill>
            <w14:solidFill>
              <w14:schemeClr w14:val="tx1"/>
            </w14:solidFill>
          </w14:textFill>
        </w:rPr>
        <w:t>营造和谐</w:t>
      </w:r>
      <w:r>
        <w:rPr>
          <w:rFonts w:hint="eastAsia" w:cs="Times New Roman"/>
          <w:color w:val="000000" w:themeColor="text1"/>
          <w:szCs w:val="21"/>
          <w14:textFill>
            <w14:solidFill>
              <w14:schemeClr w14:val="tx1"/>
            </w14:solidFill>
          </w14:textFill>
        </w:rPr>
        <w:t>、</w:t>
      </w:r>
      <w:r>
        <w:rPr>
          <w:rFonts w:hint="eastAsia" w:ascii="宋体" w:hAnsi="宋体" w:cs="Times New Roman"/>
          <w:color w:val="000000" w:themeColor="text1"/>
          <w:szCs w:val="21"/>
          <w14:textFill>
            <w14:solidFill>
              <w14:schemeClr w14:val="tx1"/>
            </w14:solidFill>
          </w14:textFill>
        </w:rPr>
        <w:t>公平</w:t>
      </w:r>
      <w:r>
        <w:rPr>
          <w:rFonts w:cs="Times New Roman"/>
          <w:color w:val="000000" w:themeColor="text1"/>
          <w:szCs w:val="21"/>
          <w14:textFill>
            <w14:solidFill>
              <w14:schemeClr w14:val="tx1"/>
            </w14:solidFill>
          </w14:textFill>
        </w:rPr>
        <w:t>的服务环境</w:t>
      </w:r>
      <w:r>
        <w:rPr>
          <w:rFonts w:hint="eastAsia" w:ascii="宋体" w:hAnsi="宋体"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促进行业</w:t>
      </w:r>
      <w:r>
        <w:rPr>
          <w:rFonts w:hint="eastAsia" w:cs="Times New Roman"/>
          <w:color w:val="000000" w:themeColor="text1"/>
          <w:szCs w:val="21"/>
          <w14:textFill>
            <w14:solidFill>
              <w14:schemeClr w14:val="tx1"/>
            </w14:solidFill>
          </w14:textFill>
        </w:rPr>
        <w:t>的</w:t>
      </w:r>
      <w:r>
        <w:rPr>
          <w:rFonts w:cs="Times New Roman"/>
          <w:color w:val="000000" w:themeColor="text1"/>
          <w:szCs w:val="21"/>
          <w14:textFill>
            <w14:solidFill>
              <w14:schemeClr w14:val="tx1"/>
            </w14:solidFill>
          </w14:textFill>
        </w:rPr>
        <w:t>健康、可持续发展，特制定标准。</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本</w:t>
      </w:r>
      <w:r>
        <w:rPr>
          <w:rFonts w:cs="Times New Roman"/>
          <w:color w:val="000000" w:themeColor="text1"/>
          <w:szCs w:val="21"/>
          <w14:textFill>
            <w14:solidFill>
              <w14:schemeClr w14:val="tx1"/>
            </w14:solidFill>
          </w14:textFill>
        </w:rPr>
        <w:t>标准</w:t>
      </w:r>
      <w:r>
        <w:rPr>
          <w:rFonts w:hint="eastAsia" w:cs="Times New Roman"/>
          <w:color w:val="000000" w:themeColor="text1"/>
          <w:szCs w:val="21"/>
          <w14:textFill>
            <w14:solidFill>
              <w14:schemeClr w14:val="tx1"/>
            </w14:solidFill>
          </w14:textFill>
        </w:rPr>
        <w:t>由</w:t>
      </w:r>
      <w:r>
        <w:rPr>
          <w:rFonts w:cs="Times New Roman"/>
          <w:color w:val="000000" w:themeColor="text1"/>
          <w:szCs w:val="21"/>
          <w14:textFill>
            <w14:solidFill>
              <w14:schemeClr w14:val="tx1"/>
            </w14:solidFill>
          </w14:textFill>
        </w:rPr>
        <w:t>重庆市</w:t>
      </w:r>
      <w:r>
        <w:rPr>
          <w:rFonts w:hint="eastAsia" w:cs="Times New Roman"/>
          <w:color w:val="000000" w:themeColor="text1"/>
          <w:szCs w:val="21"/>
          <w14:textFill>
            <w14:solidFill>
              <w14:schemeClr w14:val="tx1"/>
            </w14:solidFill>
          </w14:textFill>
        </w:rPr>
        <w:t>绿色建筑</w:t>
      </w:r>
      <w:r>
        <w:rPr>
          <w:rFonts w:cs="Times New Roman"/>
          <w:color w:val="000000" w:themeColor="text1"/>
          <w:szCs w:val="21"/>
          <w14:textFill>
            <w14:solidFill>
              <w14:schemeClr w14:val="tx1"/>
            </w14:solidFill>
          </w14:textFill>
        </w:rPr>
        <w:t>与建筑产业化协会提出</w:t>
      </w:r>
      <w:r>
        <w:rPr>
          <w:rFonts w:hint="eastAsia" w:cs="Times New Roman"/>
          <w:color w:val="000000" w:themeColor="text1"/>
          <w:szCs w:val="21"/>
          <w14:textFill>
            <w14:solidFill>
              <w14:schemeClr w14:val="tx1"/>
            </w14:solidFill>
          </w14:textFill>
        </w:rPr>
        <w:t>并</w:t>
      </w:r>
      <w:r>
        <w:rPr>
          <w:rFonts w:cs="Times New Roman"/>
          <w:szCs w:val="21"/>
        </w:rPr>
        <w:t>组织</w:t>
      </w:r>
      <w:r>
        <w:rPr>
          <w:rFonts w:hint="eastAsia" w:ascii="宋体" w:hAnsi="宋体" w:cs="Times New Roman"/>
          <w:szCs w:val="21"/>
        </w:rPr>
        <w:t>协会会员单位</w:t>
      </w:r>
      <w:r>
        <w:rPr>
          <w:rFonts w:hint="eastAsia" w:ascii="宋体" w:hAnsi="宋体" w:cs="Times New Roman"/>
          <w:color w:val="000000" w:themeColor="text1"/>
          <w:szCs w:val="21"/>
          <w14:textFill>
            <w14:solidFill>
              <w14:schemeClr w14:val="tx1"/>
            </w14:solidFill>
          </w14:textFill>
        </w:rPr>
        <w:t>协商一致制定，是公司在实施技术咨询服务活动时应遵循的行业自律行为规范，同时也可作为约束、监督和检验公司自律行为的依据，可供行业执行参考。相关公司在开展技术咨询服务业务的过程中应当自觉遵守本标准的要求，并严格遵守国家有关法律法规及相关承诺。</w:t>
      </w:r>
    </w:p>
    <w:p>
      <w:pPr>
        <w:spacing w:line="400" w:lineRule="exact"/>
        <w:ind w:firstLine="420"/>
        <w:rPr>
          <w:rFonts w:ascii="宋体" w:hAnsi="宋体" w:cs="Times New Roman"/>
          <w:color w:val="000000" w:themeColor="text1"/>
          <w:szCs w:val="21"/>
          <w14:textFill>
            <w14:solidFill>
              <w14:schemeClr w14:val="tx1"/>
            </w14:solidFill>
          </w14:textFill>
        </w:rPr>
      </w:pPr>
      <w:r>
        <w:rPr>
          <w:rFonts w:hint="eastAsia" w:ascii="宋体" w:hAnsi="宋体" w:cs="Times New Roman"/>
          <w:color w:val="000000" w:themeColor="text1"/>
          <w:szCs w:val="21"/>
          <w14:textFill>
            <w14:solidFill>
              <w14:schemeClr w14:val="tx1"/>
            </w14:solidFill>
          </w14:textFill>
        </w:rPr>
        <w:t>本标准的解释权归</w:t>
      </w:r>
      <w:r>
        <w:rPr>
          <w:rFonts w:hint="eastAsia" w:cs="Times New Roman"/>
          <w:color w:val="000000" w:themeColor="text1"/>
          <w:szCs w:val="21"/>
          <w14:textFill>
            <w14:solidFill>
              <w14:schemeClr w14:val="tx1"/>
            </w14:solidFill>
          </w14:textFill>
        </w:rPr>
        <w:t>重庆市绿色建筑与建筑产业化协会</w:t>
      </w:r>
      <w:r>
        <w:rPr>
          <w:rFonts w:hint="eastAsia" w:ascii="宋体" w:hAnsi="宋体" w:cs="Times New Roman"/>
          <w:color w:val="000000" w:themeColor="text1"/>
          <w:szCs w:val="21"/>
          <w14:textFill>
            <w14:solidFill>
              <w14:schemeClr w14:val="tx1"/>
            </w14:solidFill>
          </w14:textFill>
        </w:rPr>
        <w:t>。</w:t>
      </w:r>
    </w:p>
    <w:p>
      <w:pPr>
        <w:spacing w:line="400" w:lineRule="exact"/>
        <w:ind w:firstLine="640"/>
        <w:jc w:val="center"/>
        <w:rPr>
          <w:rFonts w:ascii="黑体" w:hAnsi="黑体" w:eastAsia="黑体" w:cs="Times New Roman"/>
          <w:color w:val="000000" w:themeColor="text1"/>
          <w:sz w:val="32"/>
          <w:szCs w:val="32"/>
          <w14:textFill>
            <w14:solidFill>
              <w14:schemeClr w14:val="tx1"/>
            </w14:solidFill>
          </w14:textFill>
        </w:rPr>
      </w:pPr>
    </w:p>
    <w:p>
      <w:pPr>
        <w:spacing w:line="400" w:lineRule="exact"/>
        <w:ind w:firstLine="640"/>
        <w:jc w:val="center"/>
        <w:rPr>
          <w:rFonts w:ascii="黑体" w:hAnsi="黑体" w:eastAsia="黑体" w:cs="Times New Roman"/>
          <w:color w:val="000000" w:themeColor="text1"/>
          <w:sz w:val="32"/>
          <w:szCs w:val="32"/>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pStyle w:val="2"/>
        <w:ind w:firstLine="643"/>
        <w:rPr>
          <w:color w:val="000000" w:themeColor="text1"/>
          <w14:textFill>
            <w14:solidFill>
              <w14:schemeClr w14:val="tx1"/>
            </w14:solidFill>
          </w14:textFill>
        </w:rPr>
      </w:pPr>
      <w:bookmarkStart w:id="24" w:name="_Toc61870911"/>
      <w:bookmarkStart w:id="25" w:name="_Toc12813"/>
      <w:bookmarkStart w:id="26" w:name="_Toc14252"/>
      <w:r>
        <w:rPr>
          <w:rFonts w:hint="eastAsia"/>
          <w:color w:val="000000" w:themeColor="text1"/>
          <w14:textFill>
            <w14:solidFill>
              <w14:schemeClr w14:val="tx1"/>
            </w14:solidFill>
          </w14:textFill>
        </w:rPr>
        <w:t>1范围</w:t>
      </w:r>
      <w:bookmarkEnd w:id="24"/>
      <w:bookmarkEnd w:id="25"/>
      <w:bookmarkEnd w:id="26"/>
    </w:p>
    <w:p>
      <w:pPr>
        <w:spacing w:line="400" w:lineRule="exact"/>
        <w:ind w:firstLine="420"/>
        <w:rPr>
          <w:rFonts w:ascii="宋体" w:hAnsi="宋体" w:cs="Times New Roman"/>
          <w:color w:val="000000" w:themeColor="text1"/>
          <w:szCs w:val="21"/>
          <w14:textFill>
            <w14:solidFill>
              <w14:schemeClr w14:val="tx1"/>
            </w14:solidFill>
          </w14:textFill>
        </w:rPr>
      </w:pPr>
      <w:r>
        <w:rPr>
          <w:rFonts w:hint="eastAsia" w:ascii="宋体" w:hAnsi="宋体" w:cs="Times New Roman"/>
          <w:color w:val="000000" w:themeColor="text1"/>
          <w:szCs w:val="21"/>
          <w14:textFill>
            <w14:solidFill>
              <w14:schemeClr w14:val="tx1"/>
            </w14:solidFill>
          </w14:textFill>
        </w:rPr>
        <w:t>本标准规定了绿色建筑技术咨询及相关技术服务的术语和定义、自律通用要求、上岗培训机制、设计咨询服务行业细则等内容。</w:t>
      </w:r>
    </w:p>
    <w:p>
      <w:pPr>
        <w:spacing w:line="400" w:lineRule="exact"/>
        <w:ind w:firstLine="420"/>
        <w:rPr>
          <w:rFonts w:ascii="宋体" w:hAnsi="宋体" w:cs="Times New Roman"/>
          <w:color w:val="000000" w:themeColor="text1"/>
          <w:szCs w:val="21"/>
          <w14:textFill>
            <w14:solidFill>
              <w14:schemeClr w14:val="tx1"/>
            </w14:solidFill>
          </w14:textFill>
        </w:rPr>
        <w:sectPr>
          <w:pgSz w:w="11906" w:h="16838"/>
          <w:pgMar w:top="1440" w:right="1800" w:bottom="1440" w:left="1800" w:header="851" w:footer="992" w:gutter="0"/>
          <w:pgNumType w:start="1"/>
          <w:cols w:space="425" w:num="1"/>
          <w:docGrid w:type="lines" w:linePitch="312" w:charSpace="0"/>
        </w:sectPr>
      </w:pPr>
      <w:r>
        <w:rPr>
          <w:rFonts w:hint="eastAsia" w:ascii="宋体" w:hAnsi="宋体" w:cs="Times New Roman"/>
          <w:color w:val="000000" w:themeColor="text1"/>
          <w:szCs w:val="21"/>
          <w14:textFill>
            <w14:solidFill>
              <w14:schemeClr w14:val="tx1"/>
            </w14:solidFill>
          </w14:textFill>
        </w:rPr>
        <w:t>本标准适用于本市行政区域内从事</w:t>
      </w:r>
      <w:r>
        <w:rPr>
          <w:rFonts w:cs="Times New Roman"/>
          <w:color w:val="000000" w:themeColor="text1"/>
          <w:szCs w:val="21"/>
          <w14:textFill>
            <w14:solidFill>
              <w14:schemeClr w14:val="tx1"/>
            </w14:solidFill>
          </w14:textFill>
        </w:rPr>
        <w:t>绿色建筑技术咨询服务企业</w:t>
      </w:r>
      <w:r>
        <w:rPr>
          <w:rFonts w:hint="eastAsia" w:ascii="宋体" w:hAnsi="宋体" w:cs="Times New Roman"/>
          <w:color w:val="000000" w:themeColor="text1"/>
          <w:szCs w:val="21"/>
          <w14:textFill>
            <w14:solidFill>
              <w14:schemeClr w14:val="tx1"/>
            </w14:solidFill>
          </w14:textFill>
        </w:rPr>
        <w:t>以及行业自律管理。</w:t>
      </w:r>
    </w:p>
    <w:p>
      <w:pPr>
        <w:pStyle w:val="2"/>
        <w:ind w:firstLine="643"/>
        <w:rPr>
          <w:color w:val="000000" w:themeColor="text1"/>
          <w14:textFill>
            <w14:solidFill>
              <w14:schemeClr w14:val="tx1"/>
            </w14:solidFill>
          </w14:textFill>
        </w:rPr>
      </w:pPr>
      <w:bookmarkStart w:id="27" w:name="_Toc28210"/>
      <w:bookmarkStart w:id="28" w:name="_Toc61870912"/>
      <w:bookmarkStart w:id="29" w:name="_Toc6495"/>
      <w:r>
        <w:rPr>
          <w:rFonts w:hint="eastAsia"/>
          <w:color w:val="000000" w:themeColor="text1"/>
          <w14:textFill>
            <w14:solidFill>
              <w14:schemeClr w14:val="tx1"/>
            </w14:solidFill>
          </w14:textFill>
        </w:rPr>
        <w:t>2规范性引用文件</w:t>
      </w:r>
      <w:bookmarkEnd w:id="27"/>
      <w:bookmarkEnd w:id="28"/>
      <w:bookmarkEnd w:id="29"/>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下列文件对于本文件的应用是必不可少的。凡是注日期的引用文件</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仅注日期的版本适用于本文件。凡是不注日期的引用文件</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其最新版本(包括所有的修改单)适用于本文件。</w:t>
      </w:r>
    </w:p>
    <w:p>
      <w:pPr>
        <w:spacing w:line="400" w:lineRule="exact"/>
        <w:ind w:left="630" w:leftChars="200" w:hanging="210" w:hangingChars="10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《国家标准化管理委员会民政部关于印发《团体标准管理规定》的通知》国标委联〔</w:t>
      </w:r>
      <w:r>
        <w:rPr>
          <w:rFonts w:cs="Times New Roman"/>
          <w:color w:val="000000" w:themeColor="text1"/>
          <w:szCs w:val="21"/>
          <w14:textFill>
            <w14:solidFill>
              <w14:schemeClr w14:val="tx1"/>
            </w14:solidFill>
          </w14:textFill>
        </w:rPr>
        <w:t>2019</w:t>
      </w:r>
      <w:r>
        <w:rPr>
          <w:rFonts w:hint="eastAsia" w:cs="Times New Roman"/>
          <w:color w:val="000000" w:themeColor="text1"/>
          <w:szCs w:val="21"/>
          <w14:textFill>
            <w14:solidFill>
              <w14:schemeClr w14:val="tx1"/>
            </w14:solidFill>
          </w14:textFill>
        </w:rPr>
        <w:t>〕1号文</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关于推进绿色</w:t>
      </w:r>
      <w:r>
        <w:rPr>
          <w:rFonts w:cs="Times New Roman"/>
          <w:color w:val="000000" w:themeColor="text1"/>
          <w:szCs w:val="21"/>
          <w14:textFill>
            <w14:solidFill>
              <w14:schemeClr w14:val="tx1"/>
            </w14:solidFill>
          </w14:textFill>
        </w:rPr>
        <w:t>建筑高</w:t>
      </w:r>
      <w:r>
        <w:rPr>
          <w:rFonts w:hint="eastAsia" w:cs="Times New Roman"/>
          <w:color w:val="000000" w:themeColor="text1"/>
          <w:szCs w:val="21"/>
          <w14:textFill>
            <w14:solidFill>
              <w14:schemeClr w14:val="tx1"/>
            </w14:solidFill>
          </w14:textFill>
        </w:rPr>
        <w:t>品质</w:t>
      </w:r>
      <w:r>
        <w:rPr>
          <w:rFonts w:cs="Times New Roman"/>
          <w:color w:val="000000" w:themeColor="text1"/>
          <w:szCs w:val="21"/>
          <w14:textFill>
            <w14:solidFill>
              <w14:schemeClr w14:val="tx1"/>
            </w14:solidFill>
          </w14:textFill>
        </w:rPr>
        <w:t>高质量发展的意见》</w:t>
      </w:r>
      <w:r>
        <w:rPr>
          <w:rFonts w:hint="eastAsia" w:cs="Times New Roman"/>
          <w:color w:val="000000" w:themeColor="text1"/>
          <w:szCs w:val="21"/>
          <w14:textFill>
            <w14:solidFill>
              <w14:schemeClr w14:val="tx1"/>
            </w14:solidFill>
          </w14:textFill>
        </w:rPr>
        <w:t>渝建发〔</w:t>
      </w:r>
      <w:r>
        <w:rPr>
          <w:rFonts w:cs="Times New Roman"/>
          <w:color w:val="000000" w:themeColor="text1"/>
          <w:szCs w:val="21"/>
          <w14:textFill>
            <w14:solidFill>
              <w14:schemeClr w14:val="tx1"/>
            </w14:solidFill>
          </w14:textFill>
        </w:rPr>
        <w:t>2019</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23</w:t>
      </w:r>
      <w:r>
        <w:rPr>
          <w:rFonts w:hint="eastAsia" w:cs="Times New Roman"/>
          <w:color w:val="000000" w:themeColor="text1"/>
          <w:szCs w:val="21"/>
          <w14:textFill>
            <w14:solidFill>
              <w14:schemeClr w14:val="tx1"/>
            </w14:solidFill>
          </w14:textFill>
        </w:rPr>
        <w:t>号文</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关于执行绿色建筑相关地方标准有关事项的通知》渝建绿建〔</w:t>
      </w:r>
      <w:r>
        <w:rPr>
          <w:rFonts w:cs="Times New Roman"/>
          <w:color w:val="000000" w:themeColor="text1"/>
          <w:szCs w:val="21"/>
          <w14:textFill>
            <w14:solidFill>
              <w14:schemeClr w14:val="tx1"/>
            </w14:solidFill>
          </w14:textFill>
        </w:rPr>
        <w:t>2020</w:t>
      </w:r>
      <w:r>
        <w:rPr>
          <w:rFonts w:hint="eastAsia" w:cs="Times New Roman"/>
          <w:color w:val="000000" w:themeColor="text1"/>
          <w:szCs w:val="21"/>
          <w14:textFill>
            <w14:solidFill>
              <w14:schemeClr w14:val="tx1"/>
            </w14:solidFill>
          </w14:textFill>
        </w:rPr>
        <w:t>〕16号文</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《居住建筑节能65%（绿色建筑）设计标准》DBJ50-071</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《公共建筑节能（绿色建筑）设计标准》DBJ50-052</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《绿色建筑评价标准》DBJ50/T-066</w:t>
      </w:r>
    </w:p>
    <w:p>
      <w:pPr>
        <w:spacing w:line="400" w:lineRule="exact"/>
        <w:ind w:firstLine="420"/>
        <w:rPr>
          <w:rFonts w:cs="Times New Roman"/>
          <w:color w:val="000000" w:themeColor="text1"/>
          <w:szCs w:val="21"/>
          <w14:textFill>
            <w14:solidFill>
              <w14:schemeClr w14:val="tx1"/>
            </w14:solidFill>
          </w14:textFill>
        </w:rPr>
        <w:sectPr>
          <w:pgSz w:w="11906" w:h="16838"/>
          <w:pgMar w:top="1440" w:right="1800" w:bottom="1440" w:left="1800" w:header="851" w:footer="992" w:gutter="0"/>
          <w:cols w:space="425" w:num="1"/>
          <w:docGrid w:type="lines" w:linePitch="312" w:charSpace="0"/>
        </w:sectPr>
      </w:pPr>
      <w:r>
        <w:rPr>
          <w:rFonts w:hint="eastAsia" w:cs="Times New Roman"/>
          <w:color w:val="000000" w:themeColor="text1"/>
          <w:szCs w:val="21"/>
          <w14:textFill>
            <w14:solidFill>
              <w14:schemeClr w14:val="tx1"/>
            </w14:solidFill>
          </w14:textFill>
        </w:rPr>
        <w:t>《绿色建筑生态住宅（绿色建筑）小区建设技术标准》DBJ50/T-039</w:t>
      </w:r>
    </w:p>
    <w:p>
      <w:pPr>
        <w:pStyle w:val="2"/>
        <w:ind w:firstLine="643"/>
        <w:rPr>
          <w:color w:val="000000" w:themeColor="text1"/>
          <w14:textFill>
            <w14:solidFill>
              <w14:schemeClr w14:val="tx1"/>
            </w14:solidFill>
          </w14:textFill>
        </w:rPr>
      </w:pPr>
      <w:bookmarkStart w:id="30" w:name="_Toc12707"/>
      <w:bookmarkStart w:id="31" w:name="_Toc61870913"/>
      <w:bookmarkStart w:id="32" w:name="_Toc23234"/>
      <w:r>
        <w:rPr>
          <w:rFonts w:hint="eastAsia"/>
          <w:color w:val="000000" w:themeColor="text1"/>
          <w14:textFill>
            <w14:solidFill>
              <w14:schemeClr w14:val="tx1"/>
            </w14:solidFill>
          </w14:textFill>
        </w:rPr>
        <w:t>3术语和定义</w:t>
      </w:r>
      <w:bookmarkEnd w:id="30"/>
      <w:bookmarkEnd w:id="31"/>
      <w:bookmarkEnd w:id="32"/>
    </w:p>
    <w:p>
      <w:pPr>
        <w:spacing w:line="400" w:lineRule="exact"/>
        <w:ind w:firstLine="420"/>
        <w:outlineLvl w:val="1"/>
        <w:rPr>
          <w:rFonts w:ascii="黑体" w:hAnsi="黑体" w:eastAsia="黑体" w:cs="Times New Roman"/>
          <w:color w:val="000000" w:themeColor="text1"/>
          <w:szCs w:val="21"/>
          <w14:textFill>
            <w14:solidFill>
              <w14:schemeClr w14:val="tx1"/>
            </w14:solidFill>
          </w14:textFill>
        </w:rPr>
      </w:pPr>
      <w:bookmarkStart w:id="33" w:name="_Toc61870914"/>
      <w:bookmarkStart w:id="34" w:name="_Toc10582"/>
      <w:bookmarkStart w:id="35" w:name="_Toc60150030"/>
      <w:bookmarkStart w:id="36" w:name="_Toc60151923"/>
      <w:bookmarkStart w:id="37" w:name="_Toc16612"/>
      <w:r>
        <w:rPr>
          <w:rFonts w:ascii="黑体" w:hAnsi="黑体" w:eastAsia="黑体" w:cs="Times New Roman"/>
          <w:color w:val="000000" w:themeColor="text1"/>
          <w:szCs w:val="21"/>
          <w14:textFill>
            <w14:solidFill>
              <w14:schemeClr w14:val="tx1"/>
            </w14:solidFill>
          </w14:textFill>
        </w:rPr>
        <w:t>3.0.1</w:t>
      </w:r>
      <w:r>
        <w:rPr>
          <w:rFonts w:hint="eastAsia" w:cs="Times New Roman"/>
          <w:color w:val="000000" w:themeColor="text1"/>
          <w:szCs w:val="21"/>
          <w14:textFill>
            <w14:solidFill>
              <w14:schemeClr w14:val="tx1"/>
            </w14:solidFill>
          </w14:textFill>
        </w:rPr>
        <w:t>绿色建筑技术</w:t>
      </w:r>
      <w:r>
        <w:rPr>
          <w:rFonts w:cs="Times New Roman"/>
          <w:color w:val="000000" w:themeColor="text1"/>
          <w:szCs w:val="21"/>
          <w14:textFill>
            <w14:solidFill>
              <w14:schemeClr w14:val="tx1"/>
            </w14:solidFill>
          </w14:textFill>
        </w:rPr>
        <w:t>咨询服务</w:t>
      </w:r>
      <w:bookmarkEnd w:id="33"/>
      <w:bookmarkEnd w:id="34"/>
      <w:bookmarkEnd w:id="35"/>
      <w:bookmarkEnd w:id="36"/>
      <w:bookmarkEnd w:id="37"/>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绿色建筑技术咨询服务主要包括：与绿色建筑相关的设计咨询、认证咨询、过程管理咨询，以及其他建筑全生命周期中为达到“绿色化”目标而进行的技术咨询服务。</w:t>
      </w:r>
    </w:p>
    <w:p>
      <w:pPr>
        <w:spacing w:line="400" w:lineRule="exact"/>
        <w:ind w:firstLine="420"/>
        <w:outlineLvl w:val="1"/>
        <w:rPr>
          <w:rFonts w:ascii="黑体" w:hAnsi="黑体" w:eastAsia="黑体" w:cs="Times New Roman"/>
          <w:color w:val="000000" w:themeColor="text1"/>
          <w:szCs w:val="21"/>
          <w14:textFill>
            <w14:solidFill>
              <w14:schemeClr w14:val="tx1"/>
            </w14:solidFill>
          </w14:textFill>
        </w:rPr>
      </w:pPr>
      <w:bookmarkStart w:id="38" w:name="_Toc60150031"/>
      <w:bookmarkStart w:id="39" w:name="_Toc725"/>
      <w:bookmarkStart w:id="40" w:name="_Toc61870915"/>
      <w:bookmarkStart w:id="41" w:name="_Toc29396"/>
      <w:bookmarkStart w:id="42" w:name="_Toc60151924"/>
      <w:r>
        <w:rPr>
          <w:rFonts w:hint="eastAsia" w:ascii="黑体" w:hAnsi="黑体" w:eastAsia="黑体" w:cs="Times New Roman"/>
          <w:color w:val="000000" w:themeColor="text1"/>
          <w:szCs w:val="21"/>
          <w14:textFill>
            <w14:solidFill>
              <w14:schemeClr w14:val="tx1"/>
            </w14:solidFill>
          </w14:textFill>
        </w:rPr>
        <w:t>3.</w:t>
      </w:r>
      <w:r>
        <w:rPr>
          <w:rFonts w:ascii="黑体" w:hAnsi="黑体" w:eastAsia="黑体" w:cs="Times New Roman"/>
          <w:color w:val="000000" w:themeColor="text1"/>
          <w:szCs w:val="21"/>
          <w14:textFill>
            <w14:solidFill>
              <w14:schemeClr w14:val="tx1"/>
            </w14:solidFill>
          </w14:textFill>
        </w:rPr>
        <w:t>0.</w:t>
      </w:r>
      <w:r>
        <w:rPr>
          <w:rFonts w:hint="eastAsia" w:ascii="黑体" w:hAnsi="黑体" w:eastAsia="黑体" w:cs="Times New Roman"/>
          <w:color w:val="000000" w:themeColor="text1"/>
          <w:szCs w:val="21"/>
          <w14:textFill>
            <w14:solidFill>
              <w14:schemeClr w14:val="tx1"/>
            </w14:solidFill>
          </w14:textFill>
        </w:rPr>
        <w:t>2</w:t>
      </w:r>
      <w:r>
        <w:rPr>
          <w:rFonts w:hint="eastAsia" w:cs="Times New Roman"/>
          <w:color w:val="000000" w:themeColor="text1"/>
          <w:szCs w:val="21"/>
          <w14:textFill>
            <w14:solidFill>
              <w14:schemeClr w14:val="tx1"/>
            </w14:solidFill>
          </w14:textFill>
        </w:rPr>
        <w:t>绿色建筑技术咨询服务成果</w:t>
      </w:r>
      <w:bookmarkEnd w:id="38"/>
      <w:bookmarkEnd w:id="39"/>
      <w:bookmarkEnd w:id="40"/>
      <w:bookmarkEnd w:id="41"/>
      <w:bookmarkEnd w:id="42"/>
    </w:p>
    <w:p>
      <w:pPr>
        <w:spacing w:line="400" w:lineRule="exact"/>
        <w:ind w:firstLine="420"/>
        <w:rPr>
          <w:rFonts w:cs="Times New Roman"/>
          <w:color w:val="000000" w:themeColor="text1"/>
          <w:szCs w:val="21"/>
          <w14:textFill>
            <w14:solidFill>
              <w14:schemeClr w14:val="tx1"/>
            </w14:solidFill>
          </w14:textFill>
        </w:rPr>
        <w:sectPr>
          <w:pgSz w:w="11906" w:h="16838"/>
          <w:pgMar w:top="1440" w:right="1800" w:bottom="1440" w:left="1800" w:header="851" w:footer="992" w:gutter="0"/>
          <w:cols w:space="425" w:num="1"/>
          <w:docGrid w:type="lines" w:linePitch="312" w:charSpace="0"/>
        </w:sectPr>
      </w:pPr>
      <w:r>
        <w:rPr>
          <w:rFonts w:hint="eastAsia" w:cs="Times New Roman"/>
          <w:color w:val="000000" w:themeColor="text1"/>
          <w:szCs w:val="21"/>
          <w14:textFill>
            <w14:solidFill>
              <w14:schemeClr w14:val="tx1"/>
            </w14:solidFill>
          </w14:textFill>
        </w:rPr>
        <w:t>绿色建筑技术咨询服务成果指在上述咨询服务过程中产生并形成的相关技术文件，形式包括但不限于图纸、说明书、专项计算报告等。</w:t>
      </w:r>
    </w:p>
    <w:p>
      <w:pPr>
        <w:pStyle w:val="2"/>
        <w:ind w:firstLine="643"/>
        <w:rPr>
          <w:color w:val="000000" w:themeColor="text1"/>
          <w14:textFill>
            <w14:solidFill>
              <w14:schemeClr w14:val="tx1"/>
            </w14:solidFill>
          </w14:textFill>
        </w:rPr>
      </w:pPr>
      <w:bookmarkStart w:id="43" w:name="_Toc61870916"/>
      <w:bookmarkStart w:id="44" w:name="_Toc14489"/>
      <w:bookmarkStart w:id="45" w:name="_Toc28250"/>
      <w:r>
        <w:rPr>
          <w:rFonts w:hint="eastAsia"/>
          <w:color w:val="000000" w:themeColor="text1"/>
          <w14:textFill>
            <w14:solidFill>
              <w14:schemeClr w14:val="tx1"/>
            </w14:solidFill>
          </w14:textFill>
        </w:rPr>
        <w:t>4行业自律要求</w:t>
      </w:r>
      <w:bookmarkEnd w:id="43"/>
      <w:bookmarkEnd w:id="44"/>
      <w:bookmarkEnd w:id="45"/>
    </w:p>
    <w:p>
      <w:pPr>
        <w:pStyle w:val="3"/>
        <w:rPr>
          <w:color w:val="000000" w:themeColor="text1"/>
          <w14:textFill>
            <w14:solidFill>
              <w14:schemeClr w14:val="tx1"/>
            </w14:solidFill>
          </w14:textFill>
        </w:rPr>
      </w:pPr>
      <w:bookmarkStart w:id="46" w:name="_Toc61870917"/>
      <w:bookmarkStart w:id="47" w:name="_Toc19637"/>
      <w:bookmarkStart w:id="48" w:name="_Toc1144"/>
      <w:r>
        <w:rPr>
          <w:rFonts w:hint="eastAsia"/>
          <w:color w:val="000000" w:themeColor="text1"/>
          <w14:textFill>
            <w14:solidFill>
              <w14:schemeClr w14:val="tx1"/>
            </w14:solidFill>
          </w14:textFill>
        </w:rPr>
        <w:t>4</w:t>
      </w:r>
      <w:r>
        <w:rPr>
          <w:color w:val="000000" w:themeColor="text1"/>
          <w14:textFill>
            <w14:solidFill>
              <w14:schemeClr w14:val="tx1"/>
            </w14:solidFill>
          </w14:textFill>
        </w:rPr>
        <w:t>.1</w:t>
      </w:r>
      <w:r>
        <w:rPr>
          <w:rFonts w:hint="eastAsia"/>
          <w:color w:val="000000" w:themeColor="text1"/>
          <w14:textFill>
            <w14:solidFill>
              <w14:schemeClr w14:val="tx1"/>
            </w14:solidFill>
          </w14:textFill>
        </w:rPr>
        <w:t xml:space="preserve"> 基本要求</w:t>
      </w:r>
      <w:bookmarkEnd w:id="46"/>
      <w:bookmarkEnd w:id="47"/>
      <w:bookmarkEnd w:id="48"/>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1.</w:t>
      </w:r>
      <w:r>
        <w:rPr>
          <w:rFonts w:hint="eastAsia" w:cs="Times New Roman"/>
          <w:color w:val="000000" w:themeColor="text1"/>
          <w:szCs w:val="21"/>
          <w14:textFill>
            <w14:solidFill>
              <w14:schemeClr w14:val="tx1"/>
            </w14:solidFill>
          </w14:textFill>
        </w:rPr>
        <w:t>1</w:t>
      </w:r>
      <w:r>
        <w:rPr>
          <w:rFonts w:cs="Times New Roman"/>
          <w:color w:val="000000" w:themeColor="text1"/>
          <w:szCs w:val="21"/>
          <w14:textFill>
            <w14:solidFill>
              <w14:schemeClr w14:val="tx1"/>
            </w14:solidFill>
          </w14:textFill>
        </w:rPr>
        <w:t xml:space="preserve"> </w:t>
      </w:r>
      <w:r>
        <w:rPr>
          <w:rFonts w:hint="eastAsia" w:cs="Times New Roman"/>
          <w:color w:val="000000" w:themeColor="text1"/>
          <w:szCs w:val="21"/>
          <w14:textFill>
            <w14:solidFill>
              <w14:schemeClr w14:val="tx1"/>
            </w14:solidFill>
          </w14:textFill>
        </w:rPr>
        <w:t>应遵守国家相关法律法规和政策要求，恪守行业规范和职业道德，积极参与和接受行业自律管理。</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1</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 xml:space="preserve">2 </w:t>
      </w:r>
      <w:r>
        <w:rPr>
          <w:rFonts w:hint="eastAsia" w:cs="Times New Roman"/>
          <w:color w:val="000000" w:themeColor="text1"/>
          <w:szCs w:val="21"/>
          <w14:textFill>
            <w14:solidFill>
              <w14:schemeClr w14:val="tx1"/>
            </w14:solidFill>
          </w14:textFill>
        </w:rPr>
        <w:t>应遵循独立、公正、科学的原则，综合运用多学科知识、工程实践经验、现代科学和管理方法进行技术咨询。</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1</w:t>
      </w:r>
      <w:r>
        <w:rPr>
          <w:rFonts w:hint="eastAsia" w:cs="Times New Roman"/>
          <w:color w:val="000000" w:themeColor="text1"/>
          <w:szCs w:val="21"/>
          <w14:textFill>
            <w14:solidFill>
              <w14:schemeClr w14:val="tx1"/>
            </w14:solidFill>
          </w14:textFill>
        </w:rPr>
        <w:t>.3</w:t>
      </w:r>
      <w:r>
        <w:rPr>
          <w:rFonts w:cs="Times New Roman"/>
          <w:color w:val="000000" w:themeColor="text1"/>
          <w:szCs w:val="21"/>
          <w14:textFill>
            <w14:solidFill>
              <w14:schemeClr w14:val="tx1"/>
            </w14:solidFill>
          </w14:textFill>
        </w:rPr>
        <w:t xml:space="preserve"> </w:t>
      </w:r>
      <w:r>
        <w:rPr>
          <w:rFonts w:hint="eastAsia" w:cs="Times New Roman"/>
          <w:color w:val="000000" w:themeColor="text1"/>
          <w:szCs w:val="21"/>
          <w14:textFill>
            <w14:solidFill>
              <w14:schemeClr w14:val="tx1"/>
            </w14:solidFill>
          </w14:textFill>
        </w:rPr>
        <w:t>应建立和实行咨询成果质量、成果文件审核等岗位人员责任制。</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 xml:space="preserve">1.4 </w:t>
      </w:r>
      <w:r>
        <w:rPr>
          <w:rFonts w:hint="eastAsia" w:cs="Times New Roman"/>
          <w:color w:val="000000" w:themeColor="text1"/>
          <w:szCs w:val="21"/>
          <w14:textFill>
            <w14:solidFill>
              <w14:schemeClr w14:val="tx1"/>
            </w14:solidFill>
          </w14:textFill>
        </w:rPr>
        <w:t>积极为行业的健康发展建言献策，协助市绿色建筑和建筑产业化协会制订和实施绿色建筑发展规划。</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1</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5 应</w:t>
      </w:r>
      <w:r>
        <w:rPr>
          <w:rFonts w:hint="eastAsia" w:cs="Times New Roman"/>
          <w:color w:val="000000" w:themeColor="text1"/>
          <w:szCs w:val="21"/>
          <w14:textFill>
            <w14:solidFill>
              <w14:schemeClr w14:val="tx1"/>
            </w14:solidFill>
          </w14:textFill>
        </w:rPr>
        <w:t>客观真实地宣传自身业务范围和技术能力，并对自身的宣传和承诺负责，不得捏造和散布虚假信息以贬损、诋毁或损害同行其他机构的名誉和利益。</w:t>
      </w:r>
    </w:p>
    <w:p>
      <w:pPr>
        <w:pStyle w:val="3"/>
        <w:rPr>
          <w:rFonts w:hint="eastAsia" w:eastAsiaTheme="majorEastAsia"/>
          <w:color w:val="000000" w:themeColor="text1"/>
          <w:lang w:eastAsia="zh-CN"/>
          <w14:textFill>
            <w14:solidFill>
              <w14:schemeClr w14:val="tx1"/>
            </w14:solidFill>
          </w14:textFill>
        </w:rPr>
      </w:pPr>
      <w:bookmarkStart w:id="49" w:name="_Toc31116"/>
      <w:bookmarkStart w:id="50" w:name="_Toc29712"/>
      <w:r>
        <w:rPr>
          <w:rFonts w:hint="eastAsia"/>
          <w:color w:val="000000" w:themeColor="text1"/>
          <w14:textFill>
            <w14:solidFill>
              <w14:schemeClr w14:val="tx1"/>
            </w14:solidFill>
          </w14:textFill>
        </w:rPr>
        <w:t>4</w:t>
      </w:r>
      <w:r>
        <w:rPr>
          <w:color w:val="000000" w:themeColor="text1"/>
          <w14:textFill>
            <w14:solidFill>
              <w14:schemeClr w14:val="tx1"/>
            </w14:solidFill>
          </w14:textFill>
        </w:rPr>
        <w:t>.2</w:t>
      </w:r>
      <w:r>
        <w:rPr>
          <w:rFonts w:hint="eastAsia"/>
          <w:color w:val="000000" w:themeColor="text1"/>
          <w14:textFill>
            <w14:solidFill>
              <w14:schemeClr w14:val="tx1"/>
            </w14:solidFill>
          </w14:textFill>
        </w:rPr>
        <w:t xml:space="preserve"> 企业要求</w:t>
      </w:r>
      <w:bookmarkEnd w:id="49"/>
      <w:bookmarkEnd w:id="50"/>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4.2.1</w:t>
      </w:r>
      <w:r>
        <w:rPr>
          <w:rFonts w:cs="Times New Roman"/>
          <w:color w:val="000000" w:themeColor="text1"/>
          <w:szCs w:val="21"/>
          <w14:textFill>
            <w14:solidFill>
              <w14:schemeClr w14:val="tx1"/>
            </w14:solidFill>
          </w14:textFill>
        </w:rPr>
        <w:t xml:space="preserve"> </w:t>
      </w:r>
      <w:r>
        <w:rPr>
          <w:rFonts w:hint="eastAsia" w:cs="Times New Roman"/>
          <w:color w:val="000000" w:themeColor="text1"/>
          <w:szCs w:val="21"/>
          <w14:textFill>
            <w14:solidFill>
              <w14:schemeClr w14:val="tx1"/>
            </w14:solidFill>
          </w14:textFill>
        </w:rPr>
        <w:t>咨询服务企业是指在重庆市设立的从事绿色建筑技术咨询服务业务并具有独立法人资格的企业、事业单位。</w:t>
      </w:r>
    </w:p>
    <w:p>
      <w:pPr>
        <w:spacing w:line="400" w:lineRule="exact"/>
        <w:ind w:firstLine="420"/>
        <w:rPr>
          <w:rFonts w:hint="eastAsia"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4.2.</w:t>
      </w:r>
      <w:r>
        <w:rPr>
          <w:rFonts w:cs="Times New Roman"/>
          <w:color w:val="000000" w:themeColor="text1"/>
          <w:szCs w:val="21"/>
          <w14:textFill>
            <w14:solidFill>
              <w14:schemeClr w14:val="tx1"/>
            </w14:solidFill>
          </w14:textFill>
        </w:rPr>
        <w:t xml:space="preserve">2 </w:t>
      </w:r>
      <w:r>
        <w:rPr>
          <w:rFonts w:hint="eastAsia" w:cs="Times New Roman"/>
          <w:color w:val="000000" w:themeColor="text1"/>
          <w:szCs w:val="21"/>
          <w14:textFill>
            <w14:solidFill>
              <w14:schemeClr w14:val="tx1"/>
            </w14:solidFill>
          </w14:textFill>
        </w:rPr>
        <w:t>严格</w:t>
      </w:r>
      <w:r>
        <w:rPr>
          <w:rFonts w:cs="Times New Roman"/>
          <w:color w:val="000000" w:themeColor="text1"/>
          <w:szCs w:val="21"/>
          <w14:textFill>
            <w14:solidFill>
              <w14:schemeClr w14:val="tx1"/>
            </w14:solidFill>
          </w14:textFill>
        </w:rPr>
        <w:t>落实“</w:t>
      </w:r>
      <w:r>
        <w:rPr>
          <w:rFonts w:hint="eastAsia" w:cs="Times New Roman"/>
          <w:color w:val="000000" w:themeColor="text1"/>
          <w:szCs w:val="21"/>
          <w14:textFill>
            <w14:solidFill>
              <w14:schemeClr w14:val="tx1"/>
            </w14:solidFill>
          </w14:textFill>
        </w:rPr>
        <w:t>证</w:t>
      </w: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照</w:t>
      </w: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齐全</w:t>
      </w:r>
      <w:r>
        <w:rPr>
          <w:rFonts w:cs="Times New Roman"/>
          <w:color w:val="000000" w:themeColor="text1"/>
          <w:szCs w:val="21"/>
          <w14:textFill>
            <w14:solidFill>
              <w14:schemeClr w14:val="tx1"/>
            </w14:solidFill>
          </w14:textFill>
        </w:rPr>
        <w:t>规定，不得挂靠、借用和转让企业资格（</w:t>
      </w:r>
      <w:r>
        <w:rPr>
          <w:rFonts w:hint="eastAsia" w:cs="Times New Roman"/>
          <w:color w:val="000000" w:themeColor="text1"/>
          <w:szCs w:val="21"/>
          <w14:textFill>
            <w14:solidFill>
              <w14:schemeClr w14:val="tx1"/>
            </w14:solidFill>
          </w14:textFill>
        </w:rPr>
        <w:t>资质</w:t>
      </w: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证书</w:t>
      </w:r>
      <w:r>
        <w:rPr>
          <w:rFonts w:cs="Times New Roman"/>
          <w:color w:val="000000" w:themeColor="text1"/>
          <w:szCs w:val="21"/>
          <w14:textFill>
            <w14:solidFill>
              <w14:schemeClr w14:val="tx1"/>
            </w14:solidFill>
          </w14:textFill>
        </w:rPr>
        <w:t>、</w:t>
      </w:r>
      <w:r>
        <w:rPr>
          <w:rFonts w:hint="eastAsia" w:cs="Times New Roman"/>
          <w:color w:val="000000" w:themeColor="text1"/>
          <w:szCs w:val="21"/>
          <w14:textFill>
            <w14:solidFill>
              <w14:schemeClr w14:val="tx1"/>
            </w14:solidFill>
          </w14:textFill>
        </w:rPr>
        <w:t>执（从）业</w:t>
      </w:r>
      <w:r>
        <w:rPr>
          <w:rFonts w:cs="Times New Roman"/>
          <w:color w:val="000000" w:themeColor="text1"/>
          <w:szCs w:val="21"/>
          <w14:textFill>
            <w14:solidFill>
              <w14:schemeClr w14:val="tx1"/>
            </w14:solidFill>
          </w14:textFill>
        </w:rPr>
        <w:t>人员资格证书</w:t>
      </w:r>
      <w:r>
        <w:rPr>
          <w:rFonts w:hint="eastAsia" w:cs="Times New Roman"/>
          <w:color w:val="000000" w:themeColor="text1"/>
          <w:szCs w:val="21"/>
          <w14:textFill>
            <w14:solidFill>
              <w14:schemeClr w14:val="tx1"/>
            </w14:solidFill>
          </w14:textFill>
        </w:rPr>
        <w:t>。</w:t>
      </w:r>
    </w:p>
    <w:p>
      <w:pPr>
        <w:pStyle w:val="3"/>
        <w:rPr>
          <w:color w:val="000000" w:themeColor="text1"/>
          <w14:textFill>
            <w14:solidFill>
              <w14:schemeClr w14:val="tx1"/>
            </w14:solidFill>
          </w14:textFill>
        </w:rPr>
      </w:pPr>
      <w:bookmarkStart w:id="51" w:name="_Toc61870918"/>
      <w:bookmarkStart w:id="52" w:name="_Toc28587"/>
      <w:bookmarkStart w:id="53" w:name="_Toc22312"/>
      <w:r>
        <w:rPr>
          <w:rFonts w:hint="eastAsia"/>
          <w:color w:val="000000" w:themeColor="text1"/>
          <w14:textFill>
            <w14:solidFill>
              <w14:schemeClr w14:val="tx1"/>
            </w14:solidFill>
          </w14:textFill>
        </w:rPr>
        <w:t>4</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 xml:space="preserve"> 人员要求</w:t>
      </w:r>
      <w:bookmarkEnd w:id="51"/>
      <w:bookmarkEnd w:id="52"/>
      <w:bookmarkEnd w:id="53"/>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3.</w:t>
      </w:r>
      <w:r>
        <w:rPr>
          <w:rFonts w:hint="eastAsia" w:cs="Times New Roman"/>
          <w:color w:val="000000" w:themeColor="text1"/>
          <w:szCs w:val="21"/>
          <w14:textFill>
            <w14:solidFill>
              <w14:schemeClr w14:val="tx1"/>
            </w14:solidFill>
          </w14:textFill>
        </w:rPr>
        <w:t>1</w:t>
      </w:r>
      <w:r>
        <w:rPr>
          <w:rFonts w:cs="Times New Roman"/>
          <w:color w:val="000000" w:themeColor="text1"/>
          <w:szCs w:val="21"/>
          <w14:textFill>
            <w14:solidFill>
              <w14:schemeClr w14:val="tx1"/>
            </w14:solidFill>
          </w14:textFill>
        </w:rPr>
        <w:t xml:space="preserve"> </w:t>
      </w:r>
      <w:r>
        <w:rPr>
          <w:rFonts w:hint="eastAsia" w:cs="Times New Roman"/>
          <w:color w:val="000000" w:themeColor="text1"/>
          <w:szCs w:val="21"/>
          <w14:textFill>
            <w14:solidFill>
              <w14:schemeClr w14:val="tx1"/>
            </w14:solidFill>
          </w14:textFill>
        </w:rPr>
        <w:t>从业人员应遵守国家相关法律法规和政策要求，恪守行业规范和职业道德，积极参与和接受行业自律管理。</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3</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 xml:space="preserve">2 </w:t>
      </w:r>
      <w:r>
        <w:rPr>
          <w:rFonts w:hint="eastAsia" w:cs="Times New Roman"/>
          <w:color w:val="000000" w:themeColor="text1"/>
          <w:szCs w:val="21"/>
          <w14:textFill>
            <w14:solidFill>
              <w14:schemeClr w14:val="tx1"/>
            </w14:solidFill>
          </w14:textFill>
        </w:rPr>
        <w:t>从业人员应积极</w:t>
      </w:r>
      <w:r>
        <w:rPr>
          <w:rFonts w:cs="Times New Roman"/>
          <w:color w:val="000000" w:themeColor="text1"/>
          <w:szCs w:val="21"/>
          <w14:textFill>
            <w14:solidFill>
              <w14:schemeClr w14:val="tx1"/>
            </w14:solidFill>
          </w14:textFill>
        </w:rPr>
        <w:t>参加</w:t>
      </w:r>
      <w:r>
        <w:rPr>
          <w:rFonts w:hint="eastAsia" w:cs="Times New Roman"/>
          <w:color w:val="000000" w:themeColor="text1"/>
          <w:szCs w:val="21"/>
          <w14:textFill>
            <w14:solidFill>
              <w14:schemeClr w14:val="tx1"/>
            </w14:solidFill>
          </w14:textFill>
        </w:rPr>
        <w:t>职业操守教育和业务能力培训，不断提高个人政治思想水平和业务素质。</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3</w:t>
      </w:r>
      <w:r>
        <w:rPr>
          <w:rFonts w:hint="eastAsia" w:cs="Times New Roman"/>
          <w:color w:val="000000" w:themeColor="text1"/>
          <w:szCs w:val="21"/>
          <w14:textFill>
            <w14:solidFill>
              <w14:schemeClr w14:val="tx1"/>
            </w14:solidFill>
          </w14:textFill>
        </w:rPr>
        <w:t>.3</w:t>
      </w:r>
      <w:r>
        <w:rPr>
          <w:rFonts w:cs="Times New Roman"/>
          <w:color w:val="000000" w:themeColor="text1"/>
          <w:szCs w:val="21"/>
          <w14:textFill>
            <w14:solidFill>
              <w14:schemeClr w14:val="tx1"/>
            </w14:solidFill>
          </w14:textFill>
        </w:rPr>
        <w:t xml:space="preserve"> </w:t>
      </w:r>
      <w:r>
        <w:rPr>
          <w:rFonts w:hint="eastAsia" w:cs="Times New Roman"/>
          <w:color w:val="000000" w:themeColor="text1"/>
          <w:szCs w:val="21"/>
          <w14:textFill>
            <w14:solidFill>
              <w14:schemeClr w14:val="tx1"/>
            </w14:solidFill>
          </w14:textFill>
        </w:rPr>
        <w:t>从业人员应具备</w:t>
      </w:r>
      <w:r>
        <w:rPr>
          <w:rFonts w:cs="Times New Roman"/>
          <w:color w:val="000000" w:themeColor="text1"/>
          <w:szCs w:val="21"/>
          <w14:textFill>
            <w14:solidFill>
              <w14:schemeClr w14:val="tx1"/>
            </w14:solidFill>
          </w14:textFill>
        </w:rPr>
        <w:t>重庆市</w:t>
      </w:r>
      <w:r>
        <w:rPr>
          <w:rFonts w:hint="eastAsia" w:cs="Times New Roman"/>
          <w:color w:val="000000" w:themeColor="text1"/>
          <w:szCs w:val="21"/>
          <w14:textFill>
            <w14:solidFill>
              <w14:schemeClr w14:val="tx1"/>
            </w14:solidFill>
          </w14:textFill>
        </w:rPr>
        <w:t>勘察</w:t>
      </w:r>
      <w:r>
        <w:rPr>
          <w:rFonts w:cs="Times New Roman"/>
          <w:color w:val="000000" w:themeColor="text1"/>
          <w:szCs w:val="21"/>
          <w14:textFill>
            <w14:solidFill>
              <w14:schemeClr w14:val="tx1"/>
            </w14:solidFill>
          </w14:textFill>
        </w:rPr>
        <w:t>设计行业备案</w:t>
      </w:r>
      <w:r>
        <w:rPr>
          <w:rFonts w:hint="eastAsia" w:cs="Times New Roman"/>
          <w:color w:val="000000" w:themeColor="text1"/>
          <w:szCs w:val="21"/>
          <w14:textFill>
            <w14:solidFill>
              <w14:schemeClr w14:val="tx1"/>
            </w14:solidFill>
          </w14:textFill>
        </w:rPr>
        <w:t>资质</w:t>
      </w:r>
      <w:r>
        <w:rPr>
          <w:rFonts w:cs="Times New Roman"/>
          <w:color w:val="000000" w:themeColor="text1"/>
          <w:szCs w:val="21"/>
          <w14:textFill>
            <w14:solidFill>
              <w14:schemeClr w14:val="tx1"/>
            </w14:solidFill>
          </w14:textFill>
        </w:rPr>
        <w:t>，具备</w:t>
      </w:r>
      <w:r>
        <w:rPr>
          <w:rFonts w:hint="eastAsia" w:cs="Times New Roman"/>
          <w:color w:val="000000" w:themeColor="text1"/>
          <w:szCs w:val="21"/>
          <w14:textFill>
            <w14:solidFill>
              <w14:schemeClr w14:val="tx1"/>
            </w14:solidFill>
          </w14:textFill>
        </w:rPr>
        <w:t>行业</w:t>
      </w:r>
      <w:r>
        <w:rPr>
          <w:rFonts w:cs="Times New Roman"/>
          <w:color w:val="000000" w:themeColor="text1"/>
          <w:szCs w:val="21"/>
          <w14:textFill>
            <w14:solidFill>
              <w14:schemeClr w14:val="tx1"/>
            </w14:solidFill>
          </w14:textFill>
        </w:rPr>
        <w:t>基础</w:t>
      </w:r>
      <w:r>
        <w:rPr>
          <w:rFonts w:hint="eastAsia" w:cs="Times New Roman"/>
          <w:color w:val="000000" w:themeColor="text1"/>
          <w:szCs w:val="21"/>
          <w14:textFill>
            <w14:solidFill>
              <w14:schemeClr w14:val="tx1"/>
            </w14:solidFill>
          </w14:textFill>
        </w:rPr>
        <w:t>职业技能。</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w:t>
      </w:r>
      <w:r>
        <w:rPr>
          <w:rFonts w:cs="Times New Roman"/>
          <w:color w:val="000000" w:themeColor="text1"/>
          <w:szCs w:val="21"/>
          <w14:textFill>
            <w14:solidFill>
              <w14:schemeClr w14:val="tx1"/>
            </w14:solidFill>
          </w14:textFill>
        </w:rPr>
        <w:t>3</w:t>
      </w:r>
      <w:r>
        <w:rPr>
          <w:rFonts w:hint="eastAsia" w:cs="Times New Roman"/>
          <w:color w:val="000000" w:themeColor="text1"/>
          <w:szCs w:val="21"/>
          <w14:textFill>
            <w14:solidFill>
              <w14:schemeClr w14:val="tx1"/>
            </w14:solidFill>
          </w14:textFill>
        </w:rPr>
        <w:t>.</w:t>
      </w:r>
      <w:r>
        <w:rPr>
          <w:rFonts w:cs="Times New Roman"/>
          <w:color w:val="000000" w:themeColor="text1"/>
          <w:szCs w:val="21"/>
          <w14:textFill>
            <w14:solidFill>
              <w14:schemeClr w14:val="tx1"/>
            </w14:solidFill>
          </w14:textFill>
        </w:rPr>
        <w:t xml:space="preserve">4 </w:t>
      </w:r>
      <w:r>
        <w:rPr>
          <w:rFonts w:hint="eastAsia" w:cs="Times New Roman"/>
          <w:color w:val="000000" w:themeColor="text1"/>
          <w:szCs w:val="21"/>
          <w14:textFill>
            <w14:solidFill>
              <w14:schemeClr w14:val="tx1"/>
            </w14:solidFill>
          </w14:textFill>
        </w:rPr>
        <w:t>积极为行业的健康发展建言献策，协助市绿色建筑和建筑产业化协会制订和实施绿色建筑发展规划。</w:t>
      </w:r>
    </w:p>
    <w:p>
      <w:pPr>
        <w:pStyle w:val="3"/>
        <w:rPr>
          <w:color w:val="000000" w:themeColor="text1"/>
          <w14:textFill>
            <w14:solidFill>
              <w14:schemeClr w14:val="tx1"/>
            </w14:solidFill>
          </w14:textFill>
        </w:rPr>
      </w:pPr>
      <w:bookmarkStart w:id="54" w:name="_Toc12007"/>
      <w:bookmarkStart w:id="55" w:name="_Toc279"/>
      <w:bookmarkStart w:id="56" w:name="_Toc61870919"/>
      <w:r>
        <w:rPr>
          <w:rFonts w:hint="eastAsia"/>
          <w:color w:val="000000" w:themeColor="text1"/>
          <w14:textFill>
            <w14:solidFill>
              <w14:schemeClr w14:val="tx1"/>
            </w14:solidFill>
          </w14:textFill>
        </w:rPr>
        <w:t>4</w:t>
      </w:r>
      <w:r>
        <w:rPr>
          <w:color w:val="000000" w:themeColor="text1"/>
          <w14:textFill>
            <w14:solidFill>
              <w14:schemeClr w14:val="tx1"/>
            </w14:solidFill>
          </w14:textFill>
        </w:rPr>
        <w:t>.4</w:t>
      </w:r>
      <w:r>
        <w:rPr>
          <w:rFonts w:hint="eastAsia"/>
          <w:color w:val="000000" w:themeColor="text1"/>
          <w14:textFill>
            <w14:solidFill>
              <w14:schemeClr w14:val="tx1"/>
            </w14:solidFill>
          </w14:textFill>
        </w:rPr>
        <w:t xml:space="preserve"> 质量要求</w:t>
      </w:r>
      <w:bookmarkEnd w:id="54"/>
      <w:bookmarkEnd w:id="55"/>
      <w:bookmarkEnd w:id="56"/>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4.3.1 </w:t>
      </w:r>
      <w:r>
        <w:rPr>
          <w:rFonts w:hint="eastAsia" w:cs="Times New Roman"/>
          <w:color w:val="000000" w:themeColor="text1"/>
          <w:szCs w:val="21"/>
          <w14:textFill>
            <w14:solidFill>
              <w14:schemeClr w14:val="tx1"/>
            </w14:solidFill>
          </w14:textFill>
        </w:rPr>
        <w:t>应严格执行国家标准、行业标准、地方标准及主管部门发布的其他相关文件要求，建立适应项目情况的质量管理组织体系，确保技术咨询成果符合标准、管理文件、合同的要求。</w:t>
      </w:r>
    </w:p>
    <w:p>
      <w:pPr>
        <w:pStyle w:val="3"/>
        <w:rPr>
          <w:rFonts w:cs="Times New Roman"/>
          <w:color w:val="000000" w:themeColor="text1"/>
          <w:szCs w:val="21"/>
          <w14:textFill>
            <w14:solidFill>
              <w14:schemeClr w14:val="tx1"/>
            </w14:solidFill>
          </w14:textFill>
        </w:rPr>
      </w:pPr>
      <w:bookmarkStart w:id="57" w:name="_Toc61870920"/>
      <w:bookmarkStart w:id="58" w:name="_Toc11667"/>
      <w:bookmarkStart w:id="59" w:name="_Toc26453"/>
      <w:r>
        <w:rPr>
          <w:rFonts w:hint="eastAsia"/>
          <w:color w:val="000000" w:themeColor="text1"/>
          <w14:textFill>
            <w14:solidFill>
              <w14:schemeClr w14:val="tx1"/>
            </w14:solidFill>
          </w14:textFill>
        </w:rPr>
        <w:t>4</w:t>
      </w:r>
      <w:r>
        <w:rPr>
          <w:color w:val="000000" w:themeColor="text1"/>
          <w14:textFill>
            <w14:solidFill>
              <w14:schemeClr w14:val="tx1"/>
            </w14:solidFill>
          </w14:textFill>
        </w:rPr>
        <w:t>.5</w:t>
      </w:r>
      <w:r>
        <w:rPr>
          <w:rFonts w:hint="eastAsia"/>
          <w:color w:val="000000" w:themeColor="text1"/>
          <w14:textFill>
            <w14:solidFill>
              <w14:schemeClr w14:val="tx1"/>
            </w14:solidFill>
          </w14:textFill>
        </w:rPr>
        <w:t xml:space="preserve"> 行为要求</w:t>
      </w:r>
      <w:bookmarkEnd w:id="57"/>
      <w:bookmarkEnd w:id="58"/>
      <w:bookmarkEnd w:id="59"/>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4.5.1 </w:t>
      </w:r>
      <w:r>
        <w:rPr>
          <w:rFonts w:hint="eastAsia" w:cs="Times New Roman"/>
          <w:color w:val="000000" w:themeColor="text1"/>
          <w:szCs w:val="21"/>
          <w14:textFill>
            <w14:solidFill>
              <w14:schemeClr w14:val="tx1"/>
            </w14:solidFill>
          </w14:textFill>
        </w:rPr>
        <w:t>应积极参与协会组织的交流及学习，加强企业管理及技术创新。</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4.5.2 </w:t>
      </w:r>
      <w:r>
        <w:rPr>
          <w:rFonts w:hint="eastAsia" w:cs="Times New Roman"/>
          <w:color w:val="000000" w:themeColor="text1"/>
          <w:szCs w:val="21"/>
          <w14:textFill>
            <w14:solidFill>
              <w14:schemeClr w14:val="tx1"/>
            </w14:solidFill>
          </w14:textFill>
        </w:rPr>
        <w:t>加强对从业人员的监督管理、职业操守教育和业务能力培训，确保从业人员的廉洁自律、诚信从业以及行为公正，提高职业道德水平和业务素质。</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4.5.3 </w:t>
      </w:r>
      <w:r>
        <w:rPr>
          <w:rFonts w:hint="eastAsia" w:cs="Times New Roman"/>
          <w:color w:val="000000" w:themeColor="text1"/>
          <w:szCs w:val="21"/>
          <w14:textFill>
            <w14:solidFill>
              <w14:schemeClr w14:val="tx1"/>
            </w14:solidFill>
          </w14:textFill>
        </w:rPr>
        <w:t>坚持认真贯彻公平竞争的市场原则，维护正常的市场秩序，以良好的专业形象参与竞争，以优质的专业服务树立品牌。</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4.5.4 </w:t>
      </w:r>
      <w:r>
        <w:rPr>
          <w:rFonts w:hint="eastAsia" w:cs="Times New Roman"/>
          <w:color w:val="000000" w:themeColor="text1"/>
          <w:szCs w:val="21"/>
          <w14:textFill>
            <w14:solidFill>
              <w14:schemeClr w14:val="tx1"/>
            </w14:solidFill>
          </w14:textFill>
        </w:rPr>
        <w:t>应严格遵守国家有关法律、法规和规章，诚信承揽工程咨询服务项目，杜绝围标、串标、行贿、弄虚作假、窃取商业秘密、签订阴阳合同等违法、不正当竞争手段。不得抄袭咨询成果，不损害其他技术咨询服务单位及其职业、执（从）业人员的权益。</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4.5.5 </w:t>
      </w:r>
      <w:r>
        <w:rPr>
          <w:rFonts w:hint="eastAsia" w:cs="Times New Roman"/>
          <w:color w:val="000000" w:themeColor="text1"/>
          <w:szCs w:val="21"/>
          <w14:textFill>
            <w14:solidFill>
              <w14:schemeClr w14:val="tx1"/>
            </w14:solidFill>
          </w14:textFill>
        </w:rPr>
        <w:t>应积极参与行业诚信与自律机制的建设和实施，包括参与制订与行业自律有关的规则、公约、行为规范等。</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4.5.6 </w:t>
      </w:r>
      <w:r>
        <w:rPr>
          <w:rFonts w:hint="eastAsia" w:cs="Times New Roman"/>
          <w:color w:val="000000" w:themeColor="text1"/>
          <w:szCs w:val="21"/>
          <w14:textFill>
            <w14:solidFill>
              <w14:schemeClr w14:val="tx1"/>
            </w14:solidFill>
          </w14:textFill>
        </w:rPr>
        <w:t>建立健全并严格执行内部质量管理制度，尊重、爱护员工，加强对员工的爱岗敬业教育、诚信教育、职业素养和职业技能培训。</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4.5.7 </w:t>
      </w:r>
      <w:r>
        <w:rPr>
          <w:rFonts w:hint="eastAsia" w:cs="Times New Roman"/>
          <w:color w:val="000000" w:themeColor="text1"/>
          <w:szCs w:val="21"/>
          <w14:textFill>
            <w14:solidFill>
              <w14:schemeClr w14:val="tx1"/>
            </w14:solidFill>
          </w14:textFill>
        </w:rPr>
        <w:t>如实公开工程建设领域绿色建筑设计、咨询、评价等行业经营、服务收费标准，明确细化各项服务内容与规范，提供质价相符的产品与服务。</w:t>
      </w:r>
    </w:p>
    <w:p>
      <w:pPr>
        <w:pStyle w:val="3"/>
        <w:rPr>
          <w:color w:val="000000" w:themeColor="text1"/>
          <w14:textFill>
            <w14:solidFill>
              <w14:schemeClr w14:val="tx1"/>
            </w14:solidFill>
          </w14:textFill>
        </w:rPr>
      </w:pPr>
      <w:bookmarkStart w:id="60" w:name="_Toc61870921"/>
      <w:bookmarkStart w:id="61" w:name="_Toc2774"/>
      <w:bookmarkStart w:id="62" w:name="_Toc32121"/>
      <w:r>
        <w:rPr>
          <w:rFonts w:hint="eastAsia"/>
          <w:color w:val="000000" w:themeColor="text1"/>
          <w14:textFill>
            <w14:solidFill>
              <w14:schemeClr w14:val="tx1"/>
            </w14:solidFill>
          </w14:textFill>
        </w:rPr>
        <w:t>4</w:t>
      </w:r>
      <w:r>
        <w:rPr>
          <w:color w:val="000000" w:themeColor="text1"/>
          <w14:textFill>
            <w14:solidFill>
              <w14:schemeClr w14:val="tx1"/>
            </w14:solidFill>
          </w14:textFill>
        </w:rPr>
        <w:t>.6</w:t>
      </w:r>
      <w:r>
        <w:rPr>
          <w:rFonts w:hint="eastAsia"/>
          <w:color w:val="000000" w:themeColor="text1"/>
          <w14:textFill>
            <w14:solidFill>
              <w14:schemeClr w14:val="tx1"/>
            </w14:solidFill>
          </w14:textFill>
        </w:rPr>
        <w:t xml:space="preserve"> 管理要求</w:t>
      </w:r>
      <w:bookmarkEnd w:id="60"/>
      <w:bookmarkEnd w:id="61"/>
      <w:bookmarkEnd w:id="62"/>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4.6.1 </w:t>
      </w:r>
      <w:r>
        <w:rPr>
          <w:rFonts w:hint="eastAsia" w:cs="Times New Roman"/>
          <w:color w:val="000000" w:themeColor="text1"/>
          <w:szCs w:val="21"/>
          <w14:textFill>
            <w14:solidFill>
              <w14:schemeClr w14:val="tx1"/>
            </w14:solidFill>
          </w14:textFill>
        </w:rPr>
        <w:t>应遵守行业自律标准，自觉接受由第三方组织的巡检小组（由成员单位各自推荐的技术专家组成）日常管理、定期抽查、质量巡检及技术指导等工作。</w:t>
      </w:r>
    </w:p>
    <w:p>
      <w:pPr>
        <w:spacing w:line="400" w:lineRule="exact"/>
        <w:ind w:firstLine="420"/>
        <w:rPr>
          <w:rFonts w:cs="Times New Roman"/>
          <w:color w:val="000000" w:themeColor="text1"/>
          <w:szCs w:val="21"/>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pStyle w:val="2"/>
        <w:ind w:firstLine="643"/>
        <w:rPr>
          <w:color w:val="000000" w:themeColor="text1"/>
          <w14:textFill>
            <w14:solidFill>
              <w14:schemeClr w14:val="tx1"/>
            </w14:solidFill>
          </w14:textFill>
        </w:rPr>
      </w:pPr>
      <w:bookmarkStart w:id="63" w:name="_Toc27749"/>
      <w:bookmarkStart w:id="64" w:name="_Toc61870922"/>
      <w:bookmarkStart w:id="65" w:name="_Toc20776"/>
      <w:r>
        <w:rPr>
          <w:rFonts w:hint="eastAsia"/>
          <w:color w:val="000000" w:themeColor="text1"/>
          <w14:textFill>
            <w14:solidFill>
              <w14:schemeClr w14:val="tx1"/>
            </w14:solidFill>
          </w14:textFill>
        </w:rPr>
        <w:t>5监督机制</w:t>
      </w:r>
      <w:bookmarkEnd w:id="63"/>
      <w:bookmarkEnd w:id="64"/>
      <w:bookmarkEnd w:id="65"/>
    </w:p>
    <w:p>
      <w:pPr>
        <w:pStyle w:val="3"/>
        <w:rPr>
          <w:color w:val="000000" w:themeColor="text1"/>
          <w14:textFill>
            <w14:solidFill>
              <w14:schemeClr w14:val="tx1"/>
            </w14:solidFill>
          </w14:textFill>
        </w:rPr>
      </w:pPr>
      <w:bookmarkStart w:id="66" w:name="_Toc61870923"/>
      <w:bookmarkStart w:id="67" w:name="_Toc3121"/>
      <w:bookmarkStart w:id="68" w:name="_Toc422"/>
      <w:r>
        <w:rPr>
          <w:rFonts w:hint="eastAsia"/>
          <w:color w:val="000000" w:themeColor="text1"/>
          <w14:textFill>
            <w14:solidFill>
              <w14:schemeClr w14:val="tx1"/>
            </w14:solidFill>
          </w14:textFill>
        </w:rPr>
        <w:t>5</w:t>
      </w:r>
      <w:r>
        <w:rPr>
          <w:color w:val="000000" w:themeColor="text1"/>
          <w14:textFill>
            <w14:solidFill>
              <w14:schemeClr w14:val="tx1"/>
            </w14:solidFill>
          </w14:textFill>
        </w:rPr>
        <w:t>.1</w:t>
      </w:r>
      <w:r>
        <w:rPr>
          <w:rFonts w:hint="eastAsia"/>
          <w:color w:val="000000" w:themeColor="text1"/>
          <w14:textFill>
            <w14:solidFill>
              <w14:schemeClr w14:val="tx1"/>
            </w14:solidFill>
          </w14:textFill>
        </w:rPr>
        <w:t xml:space="preserve"> 基本要求</w:t>
      </w:r>
      <w:bookmarkEnd w:id="66"/>
      <w:bookmarkEnd w:id="67"/>
      <w:bookmarkEnd w:id="68"/>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1.1</w:t>
      </w:r>
      <w:r>
        <w:rPr>
          <w:rFonts w:hint="eastAsia" w:cs="Times New Roman"/>
          <w:color w:val="000000" w:themeColor="text1"/>
          <w:szCs w:val="21"/>
          <w14:textFill>
            <w14:solidFill>
              <w14:schemeClr w14:val="tx1"/>
            </w14:solidFill>
          </w14:textFill>
        </w:rPr>
        <w:t>单位</w:t>
      </w:r>
      <w:r>
        <w:rPr>
          <w:rFonts w:cs="Times New Roman"/>
          <w:color w:val="000000" w:themeColor="text1"/>
          <w:szCs w:val="21"/>
          <w14:textFill>
            <w14:solidFill>
              <w14:schemeClr w14:val="tx1"/>
            </w14:solidFill>
          </w14:textFill>
        </w:rPr>
        <w:t>及个人的</w:t>
      </w:r>
      <w:r>
        <w:rPr>
          <w:rFonts w:hint="eastAsia" w:cs="Times New Roman"/>
          <w:color w:val="000000" w:themeColor="text1"/>
          <w:szCs w:val="21"/>
          <w14:textFill>
            <w14:solidFill>
              <w14:schemeClr w14:val="tx1"/>
            </w14:solidFill>
          </w14:textFill>
        </w:rPr>
        <w:t>执业行为</w:t>
      </w:r>
      <w:r>
        <w:rPr>
          <w:rFonts w:cs="Times New Roman"/>
          <w:color w:val="000000" w:themeColor="text1"/>
          <w:szCs w:val="21"/>
          <w14:textFill>
            <w14:solidFill>
              <w14:schemeClr w14:val="tx1"/>
            </w14:solidFill>
          </w14:textFill>
        </w:rPr>
        <w:t>应自觉接受</w:t>
      </w:r>
      <w:r>
        <w:rPr>
          <w:rFonts w:hint="eastAsia" w:cs="Times New Roman"/>
          <w:color w:val="000000" w:themeColor="text1"/>
          <w:szCs w:val="21"/>
          <w14:textFill>
            <w14:solidFill>
              <w14:schemeClr w14:val="tx1"/>
            </w14:solidFill>
          </w14:textFill>
        </w:rPr>
        <w:t>重庆市绿色建筑与建筑产业化协会的监督管理，并声明接受本标准的约束。</w:t>
      </w:r>
      <w:r>
        <w:rPr>
          <w:rFonts w:cs="Times New Roman"/>
          <w:color w:val="000000" w:themeColor="text1"/>
          <w:szCs w:val="21"/>
          <w14:textFill>
            <w14:solidFill>
              <w14:schemeClr w14:val="tx1"/>
            </w14:solidFill>
          </w14:textFill>
        </w:rPr>
        <w:t>同时</w:t>
      </w:r>
      <w:r>
        <w:rPr>
          <w:rFonts w:hint="eastAsia" w:cs="Times New Roman"/>
          <w:color w:val="000000" w:themeColor="text1"/>
          <w:szCs w:val="21"/>
          <w14:textFill>
            <w14:solidFill>
              <w14:schemeClr w14:val="tx1"/>
            </w14:solidFill>
          </w14:textFill>
        </w:rPr>
        <w:t>还应自觉接受政府主管部门、行业自律组织以及社会各界的管理监督。</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 xml:space="preserve">5.1.2 </w:t>
      </w:r>
      <w:r>
        <w:rPr>
          <w:rFonts w:hint="eastAsia" w:cs="Times New Roman"/>
          <w:color w:val="000000" w:themeColor="text1"/>
          <w:szCs w:val="21"/>
          <w14:textFill>
            <w14:solidFill>
              <w14:schemeClr w14:val="tx1"/>
            </w14:solidFill>
          </w14:textFill>
        </w:rPr>
        <w:t>强化诚信意识，做到严于律己、恪守承诺。积极参加重庆市绿色建筑与建筑产业化协会资信评价工作，主动接受行业协会的指导监督。</w:t>
      </w:r>
    </w:p>
    <w:p>
      <w:pPr>
        <w:pStyle w:val="3"/>
        <w:rPr>
          <w:color w:val="000000" w:themeColor="text1"/>
          <w14:textFill>
            <w14:solidFill>
              <w14:schemeClr w14:val="tx1"/>
            </w14:solidFill>
          </w14:textFill>
        </w:rPr>
      </w:pPr>
      <w:bookmarkStart w:id="69" w:name="_Toc61870924"/>
      <w:bookmarkStart w:id="70" w:name="_Toc9555"/>
      <w:bookmarkStart w:id="71" w:name="_Toc19579"/>
      <w:r>
        <w:rPr>
          <w:rFonts w:hint="eastAsia"/>
          <w:color w:val="000000" w:themeColor="text1"/>
          <w14:textFill>
            <w14:solidFill>
              <w14:schemeClr w14:val="tx1"/>
            </w14:solidFill>
          </w14:textFill>
        </w:rPr>
        <w:t>5</w:t>
      </w:r>
      <w:r>
        <w:rPr>
          <w:color w:val="000000" w:themeColor="text1"/>
          <w14:textFill>
            <w14:solidFill>
              <w14:schemeClr w14:val="tx1"/>
            </w14:solidFill>
          </w14:textFill>
        </w:rPr>
        <w:t>.2</w:t>
      </w:r>
      <w:r>
        <w:rPr>
          <w:rFonts w:hint="eastAsia"/>
          <w:color w:val="000000" w:themeColor="text1"/>
          <w14:textFill>
            <w14:solidFill>
              <w14:schemeClr w14:val="tx1"/>
            </w14:solidFill>
          </w14:textFill>
        </w:rPr>
        <w:t xml:space="preserve"> 管理监督</w:t>
      </w:r>
      <w:bookmarkEnd w:id="69"/>
      <w:bookmarkEnd w:id="70"/>
      <w:bookmarkEnd w:id="71"/>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 xml:space="preserve">.2.1 </w:t>
      </w:r>
      <w:r>
        <w:rPr>
          <w:rFonts w:hint="eastAsia" w:cs="Times New Roman"/>
          <w:color w:val="000000" w:themeColor="text1"/>
          <w:szCs w:val="21"/>
          <w14:textFill>
            <w14:solidFill>
              <w14:schemeClr w14:val="tx1"/>
            </w14:solidFill>
          </w14:textFill>
        </w:rPr>
        <w:t>协会应建立内部核查机制，各技术咨询与服务机构每年度向协会汇报本标准执行情况，协会可对本标准的执行情况进行核查。</w:t>
      </w:r>
    </w:p>
    <w:p>
      <w:pPr>
        <w:spacing w:line="400" w:lineRule="exact"/>
        <w:ind w:firstLine="420"/>
        <w:rPr>
          <w:rFonts w:cs="Times New Roman"/>
          <w:color w:val="000000" w:themeColor="text1"/>
          <w:szCs w:val="21"/>
          <w14:textFill>
            <w14:solidFill>
              <w14:schemeClr w14:val="tx1"/>
            </w14:solidFill>
          </w14:textFill>
        </w:rPr>
      </w:pPr>
      <w:r>
        <w:rPr>
          <w:rFonts w:cs="Times New Roman"/>
          <w:color w:val="000000" w:themeColor="text1"/>
          <w:szCs w:val="21"/>
          <w14:textFill>
            <w14:solidFill>
              <w14:schemeClr w14:val="tx1"/>
            </w14:solidFill>
          </w14:textFill>
        </w:rPr>
        <w:t>5.5.2 成员单位</w:t>
      </w:r>
      <w:r>
        <w:rPr>
          <w:rFonts w:hint="eastAsia" w:cs="Times New Roman"/>
          <w:color w:val="000000" w:themeColor="text1"/>
          <w:szCs w:val="21"/>
          <w14:textFill>
            <w14:solidFill>
              <w14:schemeClr w14:val="tx1"/>
            </w14:solidFill>
          </w14:textFill>
        </w:rPr>
        <w:t>应遵守行业自律标准，自觉接受由第三方组织的巡检小组（由成员单位各自推荐的技术专家组成）日常管理、定期抽查、质量巡检及技术指导等工作。</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2.3</w:t>
      </w:r>
      <w:r>
        <w:rPr>
          <w:rFonts w:hint="eastAsia" w:cs="Times New Roman"/>
          <w:color w:val="000000" w:themeColor="text1"/>
          <w:szCs w:val="21"/>
          <w14:textFill>
            <w14:solidFill>
              <w14:schemeClr w14:val="tx1"/>
            </w14:solidFill>
          </w14:textFill>
        </w:rPr>
        <w:t xml:space="preserve"> 鼓励社会各界对本标准的执行情况进行监督，包括社会舆论监督、技术咨询与服务机构相互监督、主管部门监督。任何个人或组织均有权向协会举报单位的在执业行为的违规行为。</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2.4</w:t>
      </w:r>
      <w:r>
        <w:rPr>
          <w:rFonts w:hint="eastAsia" w:cs="Times New Roman"/>
          <w:color w:val="000000" w:themeColor="text1"/>
          <w:szCs w:val="21"/>
          <w14:textFill>
            <w14:solidFill>
              <w14:schemeClr w14:val="tx1"/>
            </w14:solidFill>
          </w14:textFill>
        </w:rPr>
        <w:t xml:space="preserve"> 当协会或主管部门收到技术咨询与服务机构涉嫌违反本标准的投诉举报时，技术咨询与服务机构应主动配合和接受协会的调查核实，并就有关问题客观真实地向协会或主管部门提交书面说明。</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2.5</w:t>
      </w:r>
      <w:r>
        <w:rPr>
          <w:rFonts w:hint="eastAsia" w:cs="Times New Roman"/>
          <w:color w:val="000000" w:themeColor="text1"/>
          <w:szCs w:val="21"/>
          <w14:textFill>
            <w14:solidFill>
              <w14:schemeClr w14:val="tx1"/>
            </w14:solidFill>
          </w14:textFill>
        </w:rPr>
        <w:t xml:space="preserve"> 协会建立技术咨询与服务机构年度名录制度，每年根据各技术咨询与服务机构执行本规范的情况，以及协会其他管理制度，进行动态更新。</w:t>
      </w:r>
    </w:p>
    <w:p>
      <w:pPr>
        <w:pStyle w:val="3"/>
        <w:rPr>
          <w:color w:val="000000" w:themeColor="text1"/>
          <w14:textFill>
            <w14:solidFill>
              <w14:schemeClr w14:val="tx1"/>
            </w14:solidFill>
          </w14:textFill>
        </w:rPr>
      </w:pPr>
      <w:bookmarkStart w:id="72" w:name="_Toc24204"/>
      <w:bookmarkStart w:id="73" w:name="_Toc61870925"/>
      <w:bookmarkStart w:id="74" w:name="_Toc31294"/>
      <w:r>
        <w:rPr>
          <w:rFonts w:hint="eastAsia"/>
          <w:color w:val="000000" w:themeColor="text1"/>
          <w14:textFill>
            <w14:solidFill>
              <w14:schemeClr w14:val="tx1"/>
            </w14:solidFill>
          </w14:textFill>
        </w:rPr>
        <w:t>5</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 xml:space="preserve"> 违规行为</w:t>
      </w:r>
      <w:bookmarkEnd w:id="72"/>
      <w:bookmarkEnd w:id="73"/>
      <w:bookmarkEnd w:id="74"/>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3.1</w:t>
      </w:r>
      <w:r>
        <w:rPr>
          <w:rFonts w:hint="eastAsia" w:cs="Times New Roman"/>
          <w:color w:val="000000" w:themeColor="text1"/>
          <w:szCs w:val="21"/>
          <w14:textFill>
            <w14:solidFill>
              <w14:schemeClr w14:val="tx1"/>
            </w14:solidFill>
          </w14:textFill>
        </w:rPr>
        <w:t xml:space="preserve"> 当技术咨询与服务机构出现以下行为时，视为违反本规范的要求：</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1 违反本标准规定的行为准则要求且无法提供合理说明时；</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2 违反本标准规定的技术服务且无法提供合理说明时；</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3 违反本标准规定的行为自律要求且无法提供合理说明时；</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4 规范本标准规定的其他明文规定的要求且无法提供合理说明时。</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3.2</w:t>
      </w:r>
      <w:r>
        <w:rPr>
          <w:rFonts w:hint="eastAsia" w:cs="Times New Roman"/>
          <w:color w:val="000000" w:themeColor="text1"/>
          <w:szCs w:val="21"/>
          <w14:textFill>
            <w14:solidFill>
              <w14:schemeClr w14:val="tx1"/>
            </w14:solidFill>
          </w14:textFill>
        </w:rPr>
        <w:t xml:space="preserve"> 当技术咨询与服务机构受到行业管理部门针其雇员、机构的通报处罚时，视为违反本标准的要求。</w:t>
      </w:r>
    </w:p>
    <w:p>
      <w:pPr>
        <w:pStyle w:val="3"/>
        <w:rPr>
          <w:color w:val="000000" w:themeColor="text1"/>
          <w14:textFill>
            <w14:solidFill>
              <w14:schemeClr w14:val="tx1"/>
            </w14:solidFill>
          </w14:textFill>
        </w:rPr>
      </w:pPr>
      <w:bookmarkStart w:id="75" w:name="_Toc6774"/>
      <w:bookmarkStart w:id="76" w:name="_Toc61870926"/>
      <w:bookmarkStart w:id="77" w:name="_Toc7327"/>
      <w:r>
        <w:rPr>
          <w:rFonts w:hint="eastAsia"/>
          <w:color w:val="000000" w:themeColor="text1"/>
          <w14:textFill>
            <w14:solidFill>
              <w14:schemeClr w14:val="tx1"/>
            </w14:solidFill>
          </w14:textFill>
        </w:rPr>
        <w:t>5</w:t>
      </w:r>
      <w:r>
        <w:rPr>
          <w:color w:val="000000" w:themeColor="text1"/>
          <w14:textFill>
            <w14:solidFill>
              <w14:schemeClr w14:val="tx1"/>
            </w14:solidFill>
          </w14:textFill>
        </w:rPr>
        <w:t>.4</w:t>
      </w:r>
      <w:r>
        <w:rPr>
          <w:rFonts w:hint="eastAsia"/>
          <w:color w:val="000000" w:themeColor="text1"/>
          <w14:textFill>
            <w14:solidFill>
              <w14:schemeClr w14:val="tx1"/>
            </w14:solidFill>
          </w14:textFill>
        </w:rPr>
        <w:t xml:space="preserve"> 处理申诉</w:t>
      </w:r>
      <w:bookmarkEnd w:id="75"/>
      <w:bookmarkEnd w:id="76"/>
      <w:bookmarkEnd w:id="77"/>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4.1</w:t>
      </w:r>
      <w:r>
        <w:rPr>
          <w:rFonts w:hint="eastAsia" w:cs="Times New Roman"/>
          <w:color w:val="000000" w:themeColor="text1"/>
          <w:szCs w:val="21"/>
          <w14:textFill>
            <w14:solidFill>
              <w14:schemeClr w14:val="tx1"/>
            </w14:solidFill>
          </w14:textFill>
        </w:rPr>
        <w:t xml:space="preserve"> 技术咨询与服务机构违反本标准要求的，经调查属实，协会可按本标准的相关条文进行处理，并报相关主管部门。</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4.2</w:t>
      </w:r>
      <w:r>
        <w:rPr>
          <w:rFonts w:hint="eastAsia" w:cs="Times New Roman"/>
          <w:color w:val="000000" w:themeColor="text1"/>
          <w:szCs w:val="21"/>
          <w14:textFill>
            <w14:solidFill>
              <w14:schemeClr w14:val="tx1"/>
            </w14:solidFill>
          </w14:textFill>
        </w:rPr>
        <w:t xml:space="preserve"> 处理方式视情节轻重和违反次数，可分为限期整改、书面警告、行业通报、协会除名等。</w:t>
      </w:r>
    </w:p>
    <w:p>
      <w:pPr>
        <w:spacing w:line="400" w:lineRule="exact"/>
        <w:ind w:firstLine="420"/>
        <w:rPr>
          <w:rFonts w:cs="Times New Roman"/>
          <w:color w:val="000000" w:themeColor="text1"/>
          <w:szCs w:val="21"/>
          <w14:textFill>
            <w14:solidFill>
              <w14:schemeClr w14:val="tx1"/>
            </w14:solidFill>
          </w14:textFill>
        </w:rPr>
      </w:pPr>
      <w:r>
        <w:rPr>
          <w:rFonts w:hint="eastAsia" w:cs="Times New Roman"/>
          <w:color w:val="000000" w:themeColor="text1"/>
          <w:szCs w:val="21"/>
          <w14:textFill>
            <w14:solidFill>
              <w14:schemeClr w14:val="tx1"/>
            </w14:solidFill>
          </w14:textFill>
        </w:rPr>
        <w:t>5.</w:t>
      </w:r>
      <w:r>
        <w:rPr>
          <w:rFonts w:cs="Times New Roman"/>
          <w:color w:val="000000" w:themeColor="text1"/>
          <w:szCs w:val="21"/>
          <w14:textFill>
            <w14:solidFill>
              <w14:schemeClr w14:val="tx1"/>
            </w14:solidFill>
          </w14:textFill>
        </w:rPr>
        <w:t>4.3</w:t>
      </w:r>
      <w:r>
        <w:rPr>
          <w:rFonts w:hint="eastAsia" w:cs="Times New Roman"/>
          <w:color w:val="000000" w:themeColor="text1"/>
          <w:szCs w:val="21"/>
          <w14:textFill>
            <w14:solidFill>
              <w14:schemeClr w14:val="tx1"/>
            </w14:solidFill>
          </w14:textFill>
        </w:rPr>
        <w:t xml:space="preserve"> 技术咨询与服务机构如对协会的调查处理存在异议，可于收到调查处理告知函后15个工作日内，以书面形式向协会提出申诉。协会对申诉内容进行再次核实，并于30个工作日内将核实结果告知申诉人。</w:t>
      </w:r>
    </w:p>
    <w:p>
      <w:pPr>
        <w:spacing w:line="400" w:lineRule="exact"/>
        <w:ind w:firstLine="420"/>
        <w:rPr>
          <w:rFonts w:cs="Times New Roman"/>
          <w:color w:val="000000" w:themeColor="text1"/>
          <w:szCs w:val="21"/>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19289395"/>
    </w:sdtPr>
    <w:sdtContent>
      <w:p>
        <w:pPr>
          <w:pStyle w:val="8"/>
          <w:ind w:firstLine="360"/>
          <w:jc w:val="center"/>
        </w:pPr>
        <w:r>
          <w:fldChar w:fldCharType="begin"/>
        </w:r>
        <w:r>
          <w:instrText xml:space="preserve">PAGE   \* MERGEFORMAT</w:instrText>
        </w:r>
        <w:r>
          <w:fldChar w:fldCharType="separate"/>
        </w:r>
        <w:r>
          <w:rPr>
            <w:lang w:val="zh-CN"/>
          </w:rPr>
          <w:t>1</w:t>
        </w:r>
        <w:r>
          <w:fldChar w:fldCharType="end"/>
        </w:r>
      </w:p>
    </w:sdtContent>
  </w:sdt>
  <w:p>
    <w:pPr>
      <w:pStyle w:val="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30F"/>
    <w:rsid w:val="00085F8F"/>
    <w:rsid w:val="000A3469"/>
    <w:rsid w:val="000A60CB"/>
    <w:rsid w:val="000B1388"/>
    <w:rsid w:val="000B2788"/>
    <w:rsid w:val="00101DA5"/>
    <w:rsid w:val="001478AB"/>
    <w:rsid w:val="00166DB9"/>
    <w:rsid w:val="001871D7"/>
    <w:rsid w:val="001C0A4C"/>
    <w:rsid w:val="001C6619"/>
    <w:rsid w:val="0023204A"/>
    <w:rsid w:val="002551BC"/>
    <w:rsid w:val="00263BCC"/>
    <w:rsid w:val="002705C4"/>
    <w:rsid w:val="00292328"/>
    <w:rsid w:val="00296F68"/>
    <w:rsid w:val="002A421C"/>
    <w:rsid w:val="002A4AF7"/>
    <w:rsid w:val="002B61DB"/>
    <w:rsid w:val="002B731E"/>
    <w:rsid w:val="002D282C"/>
    <w:rsid w:val="002E0CA0"/>
    <w:rsid w:val="003403E1"/>
    <w:rsid w:val="00344E56"/>
    <w:rsid w:val="0034664E"/>
    <w:rsid w:val="003753C7"/>
    <w:rsid w:val="003A52F4"/>
    <w:rsid w:val="003B0358"/>
    <w:rsid w:val="003D0C4F"/>
    <w:rsid w:val="004166C0"/>
    <w:rsid w:val="00427082"/>
    <w:rsid w:val="004404F3"/>
    <w:rsid w:val="00442C8C"/>
    <w:rsid w:val="004555BF"/>
    <w:rsid w:val="004634D9"/>
    <w:rsid w:val="004A5201"/>
    <w:rsid w:val="004C0303"/>
    <w:rsid w:val="004D662F"/>
    <w:rsid w:val="004E2B39"/>
    <w:rsid w:val="00533869"/>
    <w:rsid w:val="00536F55"/>
    <w:rsid w:val="005506F6"/>
    <w:rsid w:val="0058247B"/>
    <w:rsid w:val="005A3F69"/>
    <w:rsid w:val="005B6BBB"/>
    <w:rsid w:val="005C2A23"/>
    <w:rsid w:val="005D69C1"/>
    <w:rsid w:val="00647A41"/>
    <w:rsid w:val="00673140"/>
    <w:rsid w:val="006769F2"/>
    <w:rsid w:val="006803AA"/>
    <w:rsid w:val="00696B12"/>
    <w:rsid w:val="006D00B7"/>
    <w:rsid w:val="006D4C80"/>
    <w:rsid w:val="006E0664"/>
    <w:rsid w:val="00710D21"/>
    <w:rsid w:val="007152D8"/>
    <w:rsid w:val="00736E8A"/>
    <w:rsid w:val="00743FA9"/>
    <w:rsid w:val="007614D2"/>
    <w:rsid w:val="00780CC6"/>
    <w:rsid w:val="00793214"/>
    <w:rsid w:val="007B1EC3"/>
    <w:rsid w:val="00815C70"/>
    <w:rsid w:val="0082700F"/>
    <w:rsid w:val="00855A17"/>
    <w:rsid w:val="00856CCF"/>
    <w:rsid w:val="00886165"/>
    <w:rsid w:val="008E1270"/>
    <w:rsid w:val="009031F4"/>
    <w:rsid w:val="00910D58"/>
    <w:rsid w:val="00913FD7"/>
    <w:rsid w:val="00920105"/>
    <w:rsid w:val="009817E9"/>
    <w:rsid w:val="0099714B"/>
    <w:rsid w:val="009A544C"/>
    <w:rsid w:val="009A5F94"/>
    <w:rsid w:val="009C5626"/>
    <w:rsid w:val="00A12C8E"/>
    <w:rsid w:val="00A15C4F"/>
    <w:rsid w:val="00A27ABE"/>
    <w:rsid w:val="00A63F63"/>
    <w:rsid w:val="00A82DCE"/>
    <w:rsid w:val="00A83C21"/>
    <w:rsid w:val="00AA68C4"/>
    <w:rsid w:val="00AC5B4B"/>
    <w:rsid w:val="00B207BA"/>
    <w:rsid w:val="00B211BB"/>
    <w:rsid w:val="00B2760A"/>
    <w:rsid w:val="00B341F3"/>
    <w:rsid w:val="00B3662F"/>
    <w:rsid w:val="00B67F55"/>
    <w:rsid w:val="00BA1491"/>
    <w:rsid w:val="00BA588D"/>
    <w:rsid w:val="00BD1F51"/>
    <w:rsid w:val="00BD633E"/>
    <w:rsid w:val="00BF7015"/>
    <w:rsid w:val="00C23530"/>
    <w:rsid w:val="00C36D93"/>
    <w:rsid w:val="00C95E80"/>
    <w:rsid w:val="00CA5274"/>
    <w:rsid w:val="00CD34FB"/>
    <w:rsid w:val="00CD42B3"/>
    <w:rsid w:val="00CE068E"/>
    <w:rsid w:val="00CE4303"/>
    <w:rsid w:val="00D04717"/>
    <w:rsid w:val="00D17215"/>
    <w:rsid w:val="00D26935"/>
    <w:rsid w:val="00D5030F"/>
    <w:rsid w:val="00D52DB7"/>
    <w:rsid w:val="00D57EC1"/>
    <w:rsid w:val="00D60A48"/>
    <w:rsid w:val="00D94876"/>
    <w:rsid w:val="00DA1F4A"/>
    <w:rsid w:val="00DB629D"/>
    <w:rsid w:val="00E02D17"/>
    <w:rsid w:val="00E26078"/>
    <w:rsid w:val="00E36CCE"/>
    <w:rsid w:val="00E574AB"/>
    <w:rsid w:val="00E861AD"/>
    <w:rsid w:val="00E87703"/>
    <w:rsid w:val="00E91B11"/>
    <w:rsid w:val="00E92E9B"/>
    <w:rsid w:val="00EA3109"/>
    <w:rsid w:val="00EC54B9"/>
    <w:rsid w:val="00ED1E4C"/>
    <w:rsid w:val="00ED6C0A"/>
    <w:rsid w:val="00EF22E5"/>
    <w:rsid w:val="00F10BBB"/>
    <w:rsid w:val="00F279D7"/>
    <w:rsid w:val="00F36849"/>
    <w:rsid w:val="00F73E2D"/>
    <w:rsid w:val="00F87490"/>
    <w:rsid w:val="00F90CEA"/>
    <w:rsid w:val="00F91454"/>
    <w:rsid w:val="00F95F4E"/>
    <w:rsid w:val="031D383A"/>
    <w:rsid w:val="033A09A6"/>
    <w:rsid w:val="076F2F7F"/>
    <w:rsid w:val="08F042A9"/>
    <w:rsid w:val="0BC36451"/>
    <w:rsid w:val="113108B3"/>
    <w:rsid w:val="12C10412"/>
    <w:rsid w:val="13916B0C"/>
    <w:rsid w:val="13CB58CD"/>
    <w:rsid w:val="182C5FDE"/>
    <w:rsid w:val="189D1B7A"/>
    <w:rsid w:val="18B92F78"/>
    <w:rsid w:val="19CC25CE"/>
    <w:rsid w:val="1B545B80"/>
    <w:rsid w:val="1C413984"/>
    <w:rsid w:val="1FE22A06"/>
    <w:rsid w:val="20415EA0"/>
    <w:rsid w:val="20900780"/>
    <w:rsid w:val="209946BA"/>
    <w:rsid w:val="223362A5"/>
    <w:rsid w:val="22D3344B"/>
    <w:rsid w:val="246F6690"/>
    <w:rsid w:val="25336FA7"/>
    <w:rsid w:val="263F7F3D"/>
    <w:rsid w:val="29846D7D"/>
    <w:rsid w:val="29F44ED3"/>
    <w:rsid w:val="2AC8449F"/>
    <w:rsid w:val="2B83115C"/>
    <w:rsid w:val="2BBA4CC1"/>
    <w:rsid w:val="2FDB4C3B"/>
    <w:rsid w:val="30F95C14"/>
    <w:rsid w:val="31AA63CA"/>
    <w:rsid w:val="32923100"/>
    <w:rsid w:val="33BA04C3"/>
    <w:rsid w:val="366746D8"/>
    <w:rsid w:val="37471B45"/>
    <w:rsid w:val="37B5712A"/>
    <w:rsid w:val="37E71C78"/>
    <w:rsid w:val="388142B6"/>
    <w:rsid w:val="38F5077F"/>
    <w:rsid w:val="38F90892"/>
    <w:rsid w:val="3B0044F1"/>
    <w:rsid w:val="3C5D45EA"/>
    <w:rsid w:val="3C613693"/>
    <w:rsid w:val="3C737AB9"/>
    <w:rsid w:val="3CF1263A"/>
    <w:rsid w:val="3DBD3E58"/>
    <w:rsid w:val="3FC86187"/>
    <w:rsid w:val="406E01F3"/>
    <w:rsid w:val="42266384"/>
    <w:rsid w:val="42514F2D"/>
    <w:rsid w:val="43BE0123"/>
    <w:rsid w:val="43C51ACB"/>
    <w:rsid w:val="454575AA"/>
    <w:rsid w:val="473A535D"/>
    <w:rsid w:val="4E3C4E2E"/>
    <w:rsid w:val="502E265E"/>
    <w:rsid w:val="51523CBC"/>
    <w:rsid w:val="53AE0262"/>
    <w:rsid w:val="57694DCA"/>
    <w:rsid w:val="578E15F1"/>
    <w:rsid w:val="57AC06D3"/>
    <w:rsid w:val="57DF0904"/>
    <w:rsid w:val="594A42D9"/>
    <w:rsid w:val="5A596CCA"/>
    <w:rsid w:val="5B6C3570"/>
    <w:rsid w:val="5C672C72"/>
    <w:rsid w:val="5D0E23CA"/>
    <w:rsid w:val="608E7A3E"/>
    <w:rsid w:val="60BB1D86"/>
    <w:rsid w:val="60C71BAB"/>
    <w:rsid w:val="64AA5D6F"/>
    <w:rsid w:val="652D33D6"/>
    <w:rsid w:val="6C1B75B1"/>
    <w:rsid w:val="6E575A06"/>
    <w:rsid w:val="71A07A27"/>
    <w:rsid w:val="73C534C8"/>
    <w:rsid w:val="7625391D"/>
    <w:rsid w:val="77F85CC3"/>
    <w:rsid w:val="7BA77742"/>
    <w:rsid w:val="7BFE51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Times New Roman" w:hAnsi="Times New Roman" w:eastAsia="宋体" w:cstheme="minorBidi"/>
      <w:kern w:val="2"/>
      <w:sz w:val="21"/>
      <w:szCs w:val="22"/>
      <w:lang w:val="en-US" w:eastAsia="zh-CN" w:bidi="ar-SA"/>
    </w:rPr>
  </w:style>
  <w:style w:type="paragraph" w:styleId="2">
    <w:name w:val="heading 1"/>
    <w:basedOn w:val="1"/>
    <w:next w:val="1"/>
    <w:link w:val="22"/>
    <w:qFormat/>
    <w:uiPriority w:val="0"/>
    <w:pPr>
      <w:keepNext/>
      <w:keepLines/>
      <w:spacing w:before="340" w:after="330" w:line="240" w:lineRule="auto"/>
      <w:jc w:val="center"/>
      <w:outlineLvl w:val="0"/>
    </w:pPr>
    <w:rPr>
      <w:rFonts w:eastAsia="黑体"/>
      <w:b/>
      <w:bCs/>
      <w:kern w:val="44"/>
      <w:sz w:val="32"/>
      <w:szCs w:val="44"/>
    </w:rPr>
  </w:style>
  <w:style w:type="paragraph" w:styleId="3">
    <w:name w:val="heading 2"/>
    <w:basedOn w:val="1"/>
    <w:next w:val="1"/>
    <w:link w:val="24"/>
    <w:unhideWhenUsed/>
    <w:qFormat/>
    <w:uiPriority w:val="0"/>
    <w:pPr>
      <w:keepNext/>
      <w:keepLines/>
      <w:spacing w:before="260" w:after="260" w:line="240" w:lineRule="auto"/>
      <w:ind w:firstLine="0" w:firstLineChars="0"/>
      <w:jc w:val="center"/>
      <w:outlineLvl w:val="1"/>
    </w:pPr>
    <w:rPr>
      <w:rFonts w:asciiTheme="majorHAnsi" w:hAnsiTheme="majorHAnsi" w:eastAsiaTheme="majorEastAsia" w:cstheme="majorBidi"/>
      <w:b/>
      <w:bCs/>
      <w:szCs w:val="32"/>
    </w:rPr>
  </w:style>
  <w:style w:type="paragraph" w:styleId="4">
    <w:name w:val="heading 3"/>
    <w:basedOn w:val="1"/>
    <w:next w:val="1"/>
    <w:unhideWhenUsed/>
    <w:qFormat/>
    <w:uiPriority w:val="0"/>
    <w:pPr>
      <w:keepNext/>
      <w:keepLines/>
      <w:spacing w:before="260" w:after="260" w:line="413" w:lineRule="auto"/>
      <w:outlineLvl w:val="2"/>
    </w:pPr>
    <w:rPr>
      <w:b/>
      <w:sz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0"/>
    <w:qFormat/>
    <w:uiPriority w:val="0"/>
    <w:pPr>
      <w:jc w:val="left"/>
    </w:pPr>
  </w:style>
  <w:style w:type="paragraph" w:styleId="6">
    <w:name w:val="Date"/>
    <w:basedOn w:val="1"/>
    <w:next w:val="1"/>
    <w:link w:val="27"/>
    <w:qFormat/>
    <w:uiPriority w:val="0"/>
    <w:pPr>
      <w:ind w:left="100" w:leftChars="2500"/>
    </w:pPr>
  </w:style>
  <w:style w:type="paragraph" w:styleId="7">
    <w:name w:val="Balloon Text"/>
    <w:basedOn w:val="1"/>
    <w:link w:val="19"/>
    <w:qFormat/>
    <w:uiPriority w:val="0"/>
    <w:pPr>
      <w:spacing w:line="240" w:lineRule="auto"/>
    </w:pPr>
    <w:rPr>
      <w:sz w:val="18"/>
      <w:szCs w:val="18"/>
    </w:rPr>
  </w:style>
  <w:style w:type="paragraph" w:styleId="8">
    <w:name w:val="footer"/>
    <w:basedOn w:val="1"/>
    <w:link w:val="26"/>
    <w:unhideWhenUsed/>
    <w:qFormat/>
    <w:uiPriority w:val="99"/>
    <w:pPr>
      <w:tabs>
        <w:tab w:val="center" w:pos="4153"/>
        <w:tab w:val="right" w:pos="8306"/>
      </w:tabs>
      <w:snapToGrid w:val="0"/>
      <w:jc w:val="left"/>
    </w:pPr>
    <w:rPr>
      <w:sz w:val="18"/>
      <w:szCs w:val="18"/>
    </w:rPr>
  </w:style>
  <w:style w:type="paragraph" w:styleId="9">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39"/>
  </w:style>
  <w:style w:type="paragraph" w:styleId="11">
    <w:name w:val="toc 2"/>
    <w:basedOn w:val="1"/>
    <w:next w:val="1"/>
    <w:uiPriority w:val="39"/>
    <w:pPr>
      <w:ind w:left="420" w:leftChars="200"/>
    </w:pPr>
  </w:style>
  <w:style w:type="paragraph" w:styleId="12">
    <w:name w:val="Title"/>
    <w:basedOn w:val="1"/>
    <w:next w:val="1"/>
    <w:link w:val="23"/>
    <w:qFormat/>
    <w:uiPriority w:val="0"/>
    <w:pPr>
      <w:spacing w:before="240" w:after="60"/>
      <w:jc w:val="center"/>
      <w:outlineLvl w:val="0"/>
    </w:pPr>
    <w:rPr>
      <w:rFonts w:asciiTheme="majorHAnsi" w:hAnsiTheme="majorHAnsi" w:cstheme="majorBidi"/>
      <w:b/>
      <w:bCs/>
      <w:sz w:val="32"/>
      <w:szCs w:val="32"/>
    </w:rPr>
  </w:style>
  <w:style w:type="paragraph" w:styleId="13">
    <w:name w:val="annotation subject"/>
    <w:basedOn w:val="5"/>
    <w:next w:val="5"/>
    <w:link w:val="21"/>
    <w:qFormat/>
    <w:uiPriority w:val="0"/>
    <w:rPr>
      <w:b/>
      <w:bCs/>
    </w:rPr>
  </w:style>
  <w:style w:type="character" w:styleId="16">
    <w:name w:val="Hyperlink"/>
    <w:basedOn w:val="15"/>
    <w:unhideWhenUsed/>
    <w:qFormat/>
    <w:uiPriority w:val="99"/>
    <w:rPr>
      <w:color w:val="0563C1" w:themeColor="hyperlink"/>
      <w:u w:val="single"/>
      <w14:textFill>
        <w14:solidFill>
          <w14:schemeClr w14:val="hlink"/>
        </w14:solidFill>
      </w14:textFill>
    </w:rPr>
  </w:style>
  <w:style w:type="character" w:styleId="17">
    <w:name w:val="annotation reference"/>
    <w:basedOn w:val="15"/>
    <w:uiPriority w:val="0"/>
    <w:rPr>
      <w:sz w:val="21"/>
      <w:szCs w:val="21"/>
    </w:rPr>
  </w:style>
  <w:style w:type="paragraph" w:styleId="18">
    <w:name w:val="List Paragraph"/>
    <w:basedOn w:val="1"/>
    <w:qFormat/>
    <w:uiPriority w:val="34"/>
    <w:pPr>
      <w:ind w:firstLine="420"/>
    </w:pPr>
  </w:style>
  <w:style w:type="character" w:customStyle="1" w:styleId="19">
    <w:name w:val="批注框文本 Char"/>
    <w:basedOn w:val="15"/>
    <w:link w:val="7"/>
    <w:qFormat/>
    <w:uiPriority w:val="0"/>
    <w:rPr>
      <w:rFonts w:cstheme="minorBidi"/>
      <w:kern w:val="2"/>
      <w:sz w:val="18"/>
      <w:szCs w:val="18"/>
    </w:rPr>
  </w:style>
  <w:style w:type="character" w:customStyle="1" w:styleId="20">
    <w:name w:val="批注文字 Char"/>
    <w:basedOn w:val="15"/>
    <w:link w:val="5"/>
    <w:qFormat/>
    <w:uiPriority w:val="0"/>
    <w:rPr>
      <w:rFonts w:cstheme="minorBidi"/>
      <w:kern w:val="2"/>
      <w:sz w:val="21"/>
      <w:szCs w:val="22"/>
    </w:rPr>
  </w:style>
  <w:style w:type="character" w:customStyle="1" w:styleId="21">
    <w:name w:val="批注主题 Char"/>
    <w:basedOn w:val="20"/>
    <w:link w:val="13"/>
    <w:qFormat/>
    <w:uiPriority w:val="0"/>
    <w:rPr>
      <w:rFonts w:cstheme="minorBidi"/>
      <w:b/>
      <w:bCs/>
      <w:kern w:val="2"/>
      <w:sz w:val="21"/>
      <w:szCs w:val="22"/>
    </w:rPr>
  </w:style>
  <w:style w:type="character" w:customStyle="1" w:styleId="22">
    <w:name w:val="标题 1 Char"/>
    <w:basedOn w:val="15"/>
    <w:link w:val="2"/>
    <w:qFormat/>
    <w:uiPriority w:val="0"/>
    <w:rPr>
      <w:rFonts w:eastAsia="黑体" w:cstheme="minorBidi"/>
      <w:b/>
      <w:bCs/>
      <w:kern w:val="44"/>
      <w:sz w:val="32"/>
      <w:szCs w:val="44"/>
    </w:rPr>
  </w:style>
  <w:style w:type="character" w:customStyle="1" w:styleId="23">
    <w:name w:val="标题 Char"/>
    <w:basedOn w:val="15"/>
    <w:link w:val="12"/>
    <w:qFormat/>
    <w:uiPriority w:val="0"/>
    <w:rPr>
      <w:rFonts w:asciiTheme="majorHAnsi" w:hAnsiTheme="majorHAnsi" w:cstheme="majorBidi"/>
      <w:b/>
      <w:bCs/>
      <w:kern w:val="2"/>
      <w:sz w:val="32"/>
      <w:szCs w:val="32"/>
    </w:rPr>
  </w:style>
  <w:style w:type="character" w:customStyle="1" w:styleId="24">
    <w:name w:val="标题 2 Char"/>
    <w:basedOn w:val="15"/>
    <w:link w:val="3"/>
    <w:qFormat/>
    <w:uiPriority w:val="0"/>
    <w:rPr>
      <w:rFonts w:asciiTheme="majorHAnsi" w:hAnsiTheme="majorHAnsi" w:eastAsiaTheme="majorEastAsia" w:cstheme="majorBidi"/>
      <w:b/>
      <w:bCs/>
      <w:kern w:val="2"/>
      <w:sz w:val="21"/>
      <w:szCs w:val="32"/>
    </w:rPr>
  </w:style>
  <w:style w:type="paragraph" w:customStyle="1" w:styleId="25">
    <w:name w:val="TOC 标题1"/>
    <w:basedOn w:val="2"/>
    <w:next w:val="1"/>
    <w:unhideWhenUsed/>
    <w:qFormat/>
    <w:uiPriority w:val="39"/>
    <w:pPr>
      <w:widowControl/>
      <w:spacing w:before="240" w:after="0" w:line="259" w:lineRule="auto"/>
      <w:ind w:firstLine="0" w:firstLineChars="0"/>
      <w:jc w:val="left"/>
      <w:outlineLvl w:val="9"/>
    </w:pPr>
    <w:rPr>
      <w:rFonts w:asciiTheme="majorHAnsi" w:hAnsiTheme="majorHAnsi" w:eastAsiaTheme="majorEastAsia" w:cstheme="majorBidi"/>
      <w:b w:val="0"/>
      <w:bCs w:val="0"/>
      <w:color w:val="2E75B6" w:themeColor="accent1" w:themeShade="BF"/>
      <w:kern w:val="0"/>
      <w:szCs w:val="32"/>
    </w:rPr>
  </w:style>
  <w:style w:type="character" w:customStyle="1" w:styleId="26">
    <w:name w:val="页脚 Char"/>
    <w:basedOn w:val="15"/>
    <w:link w:val="8"/>
    <w:qFormat/>
    <w:uiPriority w:val="99"/>
    <w:rPr>
      <w:rFonts w:cstheme="minorBidi"/>
      <w:kern w:val="2"/>
      <w:sz w:val="18"/>
      <w:szCs w:val="18"/>
    </w:rPr>
  </w:style>
  <w:style w:type="character" w:customStyle="1" w:styleId="27">
    <w:name w:val="日期 Char"/>
    <w:basedOn w:val="15"/>
    <w:link w:val="6"/>
    <w:qFormat/>
    <w:uiPriority w:val="0"/>
    <w:rPr>
      <w:rFonts w:cstheme="minorBidi"/>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B59E5A6-1FA0-4A32-A3AB-FB57A674240D}">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12</Pages>
  <Words>779</Words>
  <Characters>4445</Characters>
  <Lines>37</Lines>
  <Paragraphs>10</Paragraphs>
  <TotalTime>0</TotalTime>
  <ScaleCrop>false</ScaleCrop>
  <LinksUpToDate>false</LinksUpToDate>
  <CharactersWithSpaces>5214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2021-01-18T06:00:00Z</dcterms:created>
  <dc:creator>WHX</dc:creator>
  <cp:lastModifiedBy>春风、吹又生</cp:lastModifiedBy>
  <dcterms:modified xsi:type="dcterms:W3CDTF">2021-01-26T08:09:56Z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